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val="en-US" w:eastAsia="zh-CN"/>
        </w:rPr>
      </w:pPr>
      <w:bookmarkStart w:id="1" w:name="_GoBack"/>
      <w:bookmarkEnd w:id="1"/>
      <w:r>
        <w:rPr>
          <w:rFonts w:hint="eastAsia" w:ascii="黑体" w:eastAsia="黑体"/>
          <w:sz w:val="36"/>
          <w:szCs w:val="36"/>
          <w:lang w:val="en-US" w:eastAsia="zh-CN"/>
        </w:rPr>
        <w:t>天长市中医院医用气体工程项目维保</w:t>
      </w:r>
    </w:p>
    <w:p>
      <w:pPr>
        <w:jc w:val="center"/>
        <w:rPr>
          <w:rFonts w:hint="eastAsia" w:ascii="黑体" w:eastAsia="黑体"/>
          <w:sz w:val="36"/>
          <w:szCs w:val="36"/>
          <w:lang w:val="en-US" w:eastAsia="zh-CN"/>
        </w:rPr>
      </w:pPr>
      <w:r>
        <w:rPr>
          <w:rFonts w:hint="eastAsia" w:ascii="黑体" w:eastAsia="黑体"/>
          <w:sz w:val="36"/>
          <w:szCs w:val="36"/>
          <w:lang w:val="en-US" w:eastAsia="zh-CN"/>
        </w:rPr>
        <w:t>询价文件</w:t>
      </w:r>
    </w:p>
    <w:p>
      <w:pPr>
        <w:jc w:val="center"/>
        <w:rPr>
          <w:rFonts w:hint="eastAsia" w:asci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rPr>
      </w:pPr>
      <w:r>
        <w:rPr>
          <w:rFonts w:hint="eastAsia" w:ascii="宋体" w:hAnsi="宋体" w:eastAsia="宋体" w:cs="宋体"/>
          <w:spacing w:val="-11"/>
          <w:sz w:val="28"/>
          <w:szCs w:val="28"/>
          <w:lang w:eastAsia="zh-CN"/>
        </w:rPr>
        <w:t>天长市中医院</w:t>
      </w:r>
      <w:r>
        <w:rPr>
          <w:rFonts w:hint="eastAsia" w:ascii="宋体" w:hAnsi="宋体" w:eastAsia="宋体" w:cs="宋体"/>
          <w:spacing w:val="-11"/>
          <w:sz w:val="28"/>
          <w:szCs w:val="28"/>
          <w:lang w:val="en-US" w:eastAsia="zh-CN"/>
        </w:rPr>
        <w:t>医用气体工程中的</w:t>
      </w:r>
      <w:r>
        <w:rPr>
          <w:rFonts w:hint="eastAsia" w:ascii="宋体" w:hAnsi="宋体" w:eastAsia="宋体" w:cs="宋体"/>
          <w:spacing w:val="-11"/>
          <w:sz w:val="28"/>
          <w:szCs w:val="28"/>
          <w:highlight w:val="yellow"/>
          <w:lang w:val="en-US" w:eastAsia="zh-CN"/>
        </w:rPr>
        <w:t>真空吸引系统、正压空气系统及口腔科压缩空气系统</w:t>
      </w:r>
      <w:r>
        <w:rPr>
          <w:rFonts w:hint="eastAsia" w:ascii="宋体" w:hAnsi="宋体" w:eastAsia="宋体" w:cs="宋体"/>
          <w:spacing w:val="-11"/>
          <w:sz w:val="28"/>
          <w:szCs w:val="28"/>
          <w:lang w:val="en-US" w:eastAsia="zh-CN"/>
        </w:rPr>
        <w:t>，已正常投入使用1年，现因工作需要，需对各系统主机及其系统附件部分（不含末端管路）进行保养。现就此</w:t>
      </w:r>
      <w:r>
        <w:rPr>
          <w:rFonts w:hint="eastAsia" w:ascii="宋体" w:hAnsi="宋体" w:eastAsia="宋体" w:cs="宋体"/>
          <w:sz w:val="28"/>
          <w:szCs w:val="28"/>
          <w:lang w:val="en-US" w:eastAsia="zh-CN"/>
        </w:rPr>
        <w:t>询价文件</w:t>
      </w:r>
      <w:r>
        <w:rPr>
          <w:rFonts w:hint="eastAsia" w:ascii="宋体" w:hAnsi="宋体" w:eastAsia="宋体" w:cs="宋体"/>
          <w:spacing w:val="-11"/>
          <w:sz w:val="28"/>
          <w:szCs w:val="28"/>
        </w:rPr>
        <w:t>进行公开询价，欢迎具备条件的投标人参加投标。</w:t>
      </w:r>
    </w:p>
    <w:p>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sz w:val="24"/>
          <w:szCs w:val="24"/>
        </w:rPr>
      </w:pPr>
      <w:r>
        <w:rPr>
          <w:rFonts w:hint="eastAsia" w:ascii="黑体" w:hAnsi="黑体" w:eastAsia="黑体" w:cs="黑体"/>
          <w:b/>
          <w:bCs/>
          <w:spacing w:val="-10"/>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项目名称：天长市中医院医用气体工程设备维保项目</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4"/>
          <w:szCs w:val="24"/>
          <w:lang w:val="en-US" w:eastAsia="zh-CN"/>
        </w:rPr>
      </w:pPr>
      <w:r>
        <w:rPr>
          <w:rFonts w:hint="eastAsia" w:ascii="宋体" w:hAnsi="宋体" w:eastAsia="宋体" w:cs="宋体"/>
          <w:spacing w:val="-11"/>
          <w:sz w:val="28"/>
          <w:szCs w:val="28"/>
          <w:lang w:val="en-US" w:eastAsia="zh-CN"/>
        </w:rPr>
        <w:t>最高限价金额：年维保2.</w:t>
      </w:r>
      <w:r>
        <w:rPr>
          <w:rFonts w:hint="eastAsia" w:ascii="宋体" w:hAnsi="宋体" w:cs="宋体"/>
          <w:spacing w:val="-11"/>
          <w:sz w:val="28"/>
          <w:szCs w:val="28"/>
          <w:lang w:val="en-US" w:eastAsia="zh-CN"/>
        </w:rPr>
        <w:t>3</w:t>
      </w:r>
      <w:r>
        <w:rPr>
          <w:rFonts w:hint="eastAsia" w:ascii="宋体" w:hAnsi="宋体" w:eastAsia="宋体" w:cs="宋体"/>
          <w:spacing w:val="-11"/>
          <w:sz w:val="28"/>
          <w:szCs w:val="28"/>
          <w:lang w:val="en-US" w:eastAsia="zh-CN"/>
        </w:rPr>
        <w:t>万元，3年维保限价为</w:t>
      </w:r>
      <w:r>
        <w:rPr>
          <w:rFonts w:hint="eastAsia" w:ascii="宋体" w:hAnsi="宋体" w:cs="宋体"/>
          <w:spacing w:val="-11"/>
          <w:sz w:val="28"/>
          <w:szCs w:val="28"/>
          <w:lang w:val="en-US" w:eastAsia="zh-CN"/>
        </w:rPr>
        <w:t>6.9</w:t>
      </w:r>
      <w:r>
        <w:rPr>
          <w:rFonts w:hint="eastAsia" w:ascii="宋体" w:hAnsi="宋体" w:eastAsia="宋体" w:cs="宋体"/>
          <w:spacing w:val="-11"/>
          <w:sz w:val="28"/>
          <w:szCs w:val="28"/>
          <w:lang w:val="en-US" w:eastAsia="zh-CN"/>
        </w:rPr>
        <w:t>万元(设备主机及系统附件部分)，报价人的报价不得高于最高限价，否则按无效标处理。</w:t>
      </w:r>
    </w:p>
    <w:p>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二、</w:t>
      </w:r>
      <w:r>
        <w:rPr>
          <w:rFonts w:hint="eastAsia" w:ascii="黑体" w:hAnsi="黑体" w:eastAsia="黑体" w:cs="黑体"/>
          <w:b/>
          <w:bCs/>
          <w:spacing w:val="-10"/>
          <w:sz w:val="24"/>
          <w:szCs w:val="24"/>
        </w:rPr>
        <w:t>报价人的资格要求</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1、必须为中华人民共和国境内注册并具备独立法人资格，符合《中华人民共和国政府采购法》第二十二条的规定；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2、有效的法人营业执照副本、组织机构代码证、税务登记证等（复印件、盖单位公章）；</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3、须持有具制冷设备、气动设备、机电设备、机械设备及配件销售、安装、维修和维护</w:t>
      </w:r>
      <w:r>
        <w:rPr>
          <w:rFonts w:hint="eastAsia" w:ascii="宋体" w:hAnsi="宋体" w:cs="宋体"/>
          <w:spacing w:val="-11"/>
          <w:sz w:val="28"/>
          <w:szCs w:val="28"/>
          <w:lang w:val="en-US" w:eastAsia="zh-CN"/>
        </w:rPr>
        <w:t>相关</w:t>
      </w:r>
      <w:r>
        <w:rPr>
          <w:rFonts w:hint="eastAsia" w:ascii="宋体" w:hAnsi="宋体" w:eastAsia="宋体" w:cs="宋体"/>
          <w:spacing w:val="-11"/>
          <w:sz w:val="28"/>
          <w:szCs w:val="28"/>
          <w:lang w:val="en-US" w:eastAsia="zh-CN"/>
        </w:rPr>
        <w:t>资质，且专业从事医疗设备维修保养年限不少于5年；</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4、2023年1月1日以来提供同系列机型维保协议不少于3份；</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5、项目涉及特种设备监管部门的告知或报备等所有事项由报价方全权负责，涉及费用报价方自行承担。</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6、报价方自行查看现场，并将结果报至招标人，造成的错误损失与询价方无关。</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7、报价方自行承担本项目相关的所有安全责任。</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8、报价方应配合招标人工作安排，不得影响招标人正常工作秩序。</w:t>
      </w:r>
    </w:p>
    <w:p>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三、维保内容及要求</w:t>
      </w:r>
    </w:p>
    <w:p>
      <w:pPr>
        <w:pStyle w:val="5"/>
        <w:numPr>
          <w:ilvl w:val="0"/>
          <w:numId w:val="0"/>
        </w:numPr>
        <w:spacing w:line="276" w:lineRule="auto"/>
        <w:ind w:leftChars="0"/>
        <w:jc w:val="left"/>
        <w:rPr>
          <w:rFonts w:hint="default" w:ascii="宋体" w:hAnsi="宋体" w:eastAsia="宋体" w:cs="宋体"/>
          <w:spacing w:val="-11"/>
          <w:kern w:val="2"/>
          <w:sz w:val="28"/>
          <w:szCs w:val="28"/>
          <w:lang w:val="en-US" w:eastAsia="zh-CN" w:bidi="ar-SA"/>
        </w:rPr>
      </w:pPr>
      <w:r>
        <w:rPr>
          <w:rFonts w:hint="eastAsia" w:ascii="宋体" w:hAnsi="宋体" w:eastAsia="宋体" w:cs="宋体"/>
          <w:spacing w:val="-11"/>
          <w:kern w:val="2"/>
          <w:sz w:val="24"/>
          <w:szCs w:val="24"/>
          <w:lang w:val="en-US" w:eastAsia="zh-CN" w:bidi="ar-SA"/>
        </w:rPr>
        <w:t>1</w:t>
      </w:r>
      <w:r>
        <w:rPr>
          <w:rFonts w:hint="eastAsia" w:ascii="宋体" w:hAnsi="宋体" w:eastAsia="宋体" w:cs="宋体"/>
          <w:spacing w:val="-11"/>
          <w:kern w:val="2"/>
          <w:sz w:val="28"/>
          <w:szCs w:val="28"/>
          <w:lang w:val="en-US" w:eastAsia="zh-CN" w:bidi="ar-SA"/>
        </w:rPr>
        <w:t>、维保内容   见下表</w:t>
      </w:r>
    </w:p>
    <w:p>
      <w:pPr>
        <w:pStyle w:val="5"/>
        <w:numPr>
          <w:ilvl w:val="0"/>
          <w:numId w:val="0"/>
        </w:numPr>
        <w:spacing w:line="276" w:lineRule="auto"/>
        <w:ind w:leftChars="0"/>
        <w:jc w:val="left"/>
        <w:rPr>
          <w:rFonts w:hint="eastAsia" w:asciiTheme="minorEastAsia" w:hAnsiTheme="minorEastAsia" w:eastAsiaTheme="minorEastAsia"/>
          <w:sz w:val="28"/>
          <w:szCs w:val="28"/>
        </w:rPr>
      </w:pPr>
    </w:p>
    <w:tbl>
      <w:tblPr>
        <w:tblStyle w:val="3"/>
        <w:tblpPr w:leftFromText="180" w:rightFromText="180" w:vertAnchor="page" w:horzAnchor="page" w:tblpX="897" w:tblpY="2373"/>
        <w:tblOverlap w:val="never"/>
        <w:tblW w:w="10036" w:type="dxa"/>
        <w:tblInd w:w="0" w:type="dxa"/>
        <w:tblLayout w:type="fixed"/>
        <w:tblCellMar>
          <w:top w:w="15" w:type="dxa"/>
          <w:left w:w="15" w:type="dxa"/>
          <w:bottom w:w="15" w:type="dxa"/>
          <w:right w:w="15" w:type="dxa"/>
        </w:tblCellMar>
      </w:tblPr>
      <w:tblGrid>
        <w:gridCol w:w="564"/>
        <w:gridCol w:w="2375"/>
        <w:gridCol w:w="5"/>
        <w:gridCol w:w="1903"/>
        <w:gridCol w:w="585"/>
        <w:gridCol w:w="751"/>
        <w:gridCol w:w="959"/>
        <w:gridCol w:w="1306"/>
        <w:gridCol w:w="1588"/>
      </w:tblGrid>
      <w:tr>
        <w:tblPrEx>
          <w:tblCellMar>
            <w:top w:w="15" w:type="dxa"/>
            <w:left w:w="15" w:type="dxa"/>
            <w:bottom w:w="15" w:type="dxa"/>
            <w:right w:w="15" w:type="dxa"/>
          </w:tblCellMar>
        </w:tblPrEx>
        <w:trPr>
          <w:trHeight w:val="285"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p>
        </w:tc>
        <w:tc>
          <w:tcPr>
            <w:tcW w:w="2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配件名称</w:t>
            </w:r>
          </w:p>
        </w:tc>
        <w:tc>
          <w:tcPr>
            <w:tcW w:w="19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规格</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单位</w:t>
            </w:r>
            <w:r>
              <w:rPr>
                <w:rFonts w:ascii="宋体" w:hAnsi="宋体" w:cs="宋体"/>
                <w:b/>
                <w:bCs/>
                <w:color w:val="000000"/>
                <w:kern w:val="0"/>
                <w:sz w:val="24"/>
                <w:szCs w:val="24"/>
              </w:rPr>
              <w:t xml:space="preserve"> </w:t>
            </w:r>
          </w:p>
        </w:tc>
        <w:tc>
          <w:tcPr>
            <w:tcW w:w="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数量</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单价</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bCs/>
                <w:color w:val="000000"/>
                <w:sz w:val="24"/>
                <w:szCs w:val="24"/>
                <w:lang w:eastAsia="zh-CN"/>
              </w:rPr>
            </w:pPr>
            <w:r>
              <w:rPr>
                <w:rFonts w:hint="eastAsia" w:ascii="宋体" w:hAnsi="宋体" w:cs="宋体"/>
                <w:b/>
                <w:bCs/>
                <w:color w:val="000000"/>
                <w:kern w:val="0"/>
                <w:sz w:val="24"/>
                <w:szCs w:val="24"/>
                <w:lang w:val="en-US" w:eastAsia="zh-CN"/>
              </w:rPr>
              <w:t>金额</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4"/>
                <w:szCs w:val="24"/>
              </w:rPr>
            </w:pPr>
            <w:r>
              <w:rPr>
                <w:rFonts w:hint="eastAsia" w:ascii="宋体" w:hAnsi="宋体" w:cs="宋体"/>
                <w:b/>
                <w:bCs/>
                <w:color w:val="000000"/>
                <w:kern w:val="0"/>
                <w:sz w:val="24"/>
                <w:szCs w:val="24"/>
              </w:rPr>
              <w:t>备注</w:t>
            </w: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1</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空气过滤器</w:t>
            </w:r>
          </w:p>
        </w:tc>
        <w:tc>
          <w:tcPr>
            <w:tcW w:w="1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bookmarkStart w:id="0" w:name="OLE_LINK1"/>
            <w:r>
              <w:rPr>
                <w:rFonts w:hint="eastAsia" w:ascii="宋体" w:cs="宋体"/>
                <w:color w:val="000000"/>
                <w:sz w:val="24"/>
                <w:szCs w:val="24"/>
                <w:lang w:val="en-US" w:eastAsia="zh-CN"/>
              </w:rPr>
              <w:t>阿特拉斯G22P</w:t>
            </w:r>
            <w:bookmarkEnd w:id="0"/>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个</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4</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 w:val="22"/>
                <w:lang w:val="en-US" w:eastAsia="zh-CN"/>
              </w:rPr>
            </w:pPr>
          </w:p>
        </w:tc>
        <w:tc>
          <w:tcPr>
            <w:tcW w:w="158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2"/>
                <w:lang w:val="en-US" w:eastAsia="zh-CN"/>
              </w:rPr>
            </w:pPr>
            <w:r>
              <w:rPr>
                <w:rFonts w:hint="eastAsia" w:ascii="宋体" w:cs="宋体"/>
                <w:color w:val="000000"/>
                <w:sz w:val="22"/>
                <w:lang w:val="en-US" w:eastAsia="zh-CN"/>
              </w:rPr>
              <w:t>正负压系统使用一年达到保养时间。（2台阿特拉斯空压机，3台15KW油循环泵，口腔科压缩空气系统）</w:t>
            </w: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2</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油过滤芯器</w:t>
            </w:r>
          </w:p>
        </w:tc>
        <w:tc>
          <w:tcPr>
            <w:tcW w:w="1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阿特拉斯G22P</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个</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4</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4"/>
                <w:szCs w:val="24"/>
              </w:rPr>
            </w:pPr>
            <w:r>
              <w:rPr>
                <w:rFonts w:ascii="宋体" w:hAnsi="宋体" w:cs="宋体"/>
                <w:color w:val="000000"/>
                <w:kern w:val="0"/>
                <w:sz w:val="24"/>
                <w:szCs w:val="24"/>
              </w:rPr>
              <w:t>3</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油气分离器</w:t>
            </w:r>
          </w:p>
        </w:tc>
        <w:tc>
          <w:tcPr>
            <w:tcW w:w="1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阿特拉斯G22P</w:t>
            </w:r>
          </w:p>
        </w:tc>
        <w:tc>
          <w:tcPr>
            <w:tcW w:w="585" w:type="dxa"/>
            <w:tcBorders>
              <w:top w:val="single" w:color="000000" w:sz="4" w:space="0"/>
              <w:left w:val="single" w:color="000000" w:sz="4" w:space="0"/>
              <w:bottom w:val="single" w:color="000000" w:sz="4" w:space="0"/>
              <w:right w:val="single" w:color="000000" w:sz="4" w:space="0"/>
            </w:tcBorders>
            <w:vAlign w:val="center"/>
          </w:tcPr>
          <w:p>
            <w:pPr>
              <w:tabs>
                <w:tab w:val="left" w:pos="270"/>
              </w:tabs>
              <w:ind w:firstLine="226" w:firstLineChars="100"/>
              <w:jc w:val="left"/>
              <w:rPr>
                <w:rFonts w:hint="eastAsia" w:ascii="宋体" w:eastAsia="宋体" w:cs="宋体"/>
                <w:color w:val="000000"/>
                <w:sz w:val="24"/>
                <w:szCs w:val="24"/>
                <w:lang w:eastAsia="zh-CN"/>
              </w:rPr>
            </w:pPr>
            <w:r>
              <w:rPr>
                <w:rFonts w:hint="eastAsia" w:ascii="宋体" w:cs="宋体"/>
                <w:color w:val="000000"/>
                <w:sz w:val="24"/>
                <w:szCs w:val="24"/>
                <w:lang w:eastAsia="zh-CN"/>
              </w:rPr>
              <w:t>个</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2</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4</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机油</w:t>
            </w:r>
          </w:p>
        </w:tc>
        <w:tc>
          <w:tcPr>
            <w:tcW w:w="1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阿特拉斯G22P</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桶</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2</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szCs w:val="24"/>
              </w:rPr>
            </w:pPr>
            <w:r>
              <w:rPr>
                <w:rFonts w:ascii="宋体" w:hAnsi="宋体" w:cs="宋体"/>
                <w:color w:val="000000"/>
                <w:kern w:val="0"/>
                <w:sz w:val="24"/>
                <w:szCs w:val="24"/>
              </w:rPr>
              <w:t>5</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负压油过滤器</w:t>
            </w:r>
          </w:p>
        </w:tc>
        <w:tc>
          <w:tcPr>
            <w:tcW w:w="1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个</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6</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4"/>
                <w:szCs w:val="24"/>
              </w:rPr>
            </w:pPr>
            <w:r>
              <w:rPr>
                <w:rFonts w:ascii="宋体" w:hAnsi="宋体" w:cs="宋体"/>
                <w:color w:val="000000"/>
                <w:kern w:val="0"/>
                <w:sz w:val="24"/>
                <w:szCs w:val="24"/>
              </w:rPr>
              <w:t>6</w:t>
            </w:r>
          </w:p>
        </w:tc>
        <w:tc>
          <w:tcPr>
            <w:tcW w:w="2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eastAsia="zh-CN"/>
              </w:rPr>
            </w:pPr>
            <w:r>
              <w:rPr>
                <w:rFonts w:hint="eastAsia" w:ascii="宋体" w:cs="宋体"/>
                <w:color w:val="000000"/>
                <w:sz w:val="24"/>
                <w:szCs w:val="24"/>
                <w:lang w:eastAsia="zh-CN"/>
              </w:rPr>
              <w:t>真空泵机油</w:t>
            </w:r>
          </w:p>
        </w:tc>
        <w:tc>
          <w:tcPr>
            <w:tcW w:w="19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20L</w:t>
            </w: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桶</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6</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4"/>
                <w:szCs w:val="24"/>
              </w:rPr>
            </w:pPr>
            <w:r>
              <w:rPr>
                <w:rFonts w:ascii="宋体" w:hAnsi="宋体" w:cs="宋体"/>
                <w:color w:val="000000"/>
                <w:kern w:val="0"/>
                <w:sz w:val="24"/>
                <w:szCs w:val="24"/>
              </w:rPr>
              <w:t>7</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val="en-US" w:eastAsia="zh-CN"/>
              </w:rPr>
              <w:t>空气过滤器</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cs="宋体"/>
                <w:color w:val="000000"/>
                <w:sz w:val="24"/>
                <w:szCs w:val="24"/>
                <w:lang w:val="en-US" w:eastAsia="zh-CN"/>
              </w:rPr>
            </w:pPr>
            <w:r>
              <w:rPr>
                <w:rFonts w:hint="eastAsia" w:ascii="宋体" w:cs="宋体"/>
                <w:color w:val="000000"/>
                <w:sz w:val="24"/>
                <w:szCs w:val="24"/>
                <w:lang w:val="en-US" w:eastAsia="zh-CN"/>
              </w:rPr>
              <w:t>阿特拉斯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Calibri" w:eastAsia="宋体" w:cs="宋体"/>
                <w:color w:val="000000"/>
                <w:kern w:val="2"/>
                <w:sz w:val="24"/>
                <w:szCs w:val="24"/>
                <w:lang w:val="en-US" w:eastAsia="zh-CN" w:bidi="ar-SA"/>
              </w:rPr>
            </w:pPr>
            <w:r>
              <w:rPr>
                <w:rFonts w:hint="eastAsia" w:ascii="宋体" w:cs="宋体"/>
                <w:color w:val="000000"/>
                <w:sz w:val="24"/>
                <w:szCs w:val="24"/>
                <w:lang w:val="en-US" w:eastAsia="zh-CN"/>
              </w:rPr>
              <w:t>SF8+ 8PLG</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val="en-US" w:eastAsia="zh-CN"/>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val="en-US" w:eastAsia="zh-CN"/>
              </w:rPr>
              <w:t>4</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eastAsia="zh-CN"/>
              </w:rPr>
              <w:t>人工差旅费</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Calibri" w:eastAsia="宋体" w:cs="宋体"/>
                <w:color w:val="000000"/>
                <w:kern w:val="2"/>
                <w:sz w:val="24"/>
                <w:szCs w:val="24"/>
                <w:lang w:val="en-US" w:eastAsia="zh-CN" w:bidi="ar-SA"/>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eastAsia="zh-CN"/>
              </w:rPr>
              <w:t>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val="en-US" w:eastAsia="zh-CN"/>
              </w:rPr>
              <w:t>1</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eastAsia="zh-CN"/>
              </w:rPr>
              <w:t>运费</w:t>
            </w: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Calibri" w:eastAsia="宋体" w:cs="宋体"/>
                <w:color w:val="000000"/>
                <w:kern w:val="2"/>
                <w:sz w:val="24"/>
                <w:szCs w:val="24"/>
                <w:lang w:val="en-US" w:eastAsia="zh-CN" w:bidi="ar-SA"/>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eastAsia="zh-CN"/>
              </w:rPr>
              <w:t>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2" w:firstLineChars="200"/>
              <w:rPr>
                <w:rFonts w:hint="eastAsia" w:ascii="宋体" w:hAnsi="Calibri" w:eastAsia="宋体" w:cs="宋体"/>
                <w:color w:val="000000"/>
                <w:kern w:val="2"/>
                <w:sz w:val="24"/>
                <w:szCs w:val="24"/>
                <w:lang w:val="en-US" w:eastAsia="zh-CN" w:bidi="ar-SA"/>
              </w:rPr>
            </w:pPr>
            <w:r>
              <w:rPr>
                <w:rFonts w:hint="eastAsia" w:ascii="宋体" w:cs="宋体"/>
                <w:color w:val="000000"/>
                <w:sz w:val="24"/>
                <w:szCs w:val="24"/>
                <w:lang w:val="en-US" w:eastAsia="zh-CN"/>
              </w:rPr>
              <w:t>1</w:t>
            </w: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szCs w:val="24"/>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360" w:hRule="atLeast"/>
        </w:trPr>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rPr>
            </w:pPr>
          </w:p>
        </w:tc>
        <w:tc>
          <w:tcPr>
            <w:tcW w:w="2375"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eastAsia="宋体" w:cs="宋体"/>
                <w:color w:val="000000"/>
                <w:sz w:val="24"/>
                <w:szCs w:val="24"/>
                <w:lang w:val="en-US" w:eastAsia="zh-CN"/>
              </w:rPr>
            </w:pPr>
          </w:p>
        </w:tc>
        <w:tc>
          <w:tcPr>
            <w:tcW w:w="1908"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cs="宋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szCs w:val="24"/>
              </w:rPr>
            </w:pP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szCs w:val="24"/>
              </w:rPr>
            </w:pPr>
          </w:p>
        </w:tc>
        <w:tc>
          <w:tcPr>
            <w:tcW w:w="95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szCs w:val="24"/>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285" w:hRule="atLeast"/>
        </w:trPr>
        <w:tc>
          <w:tcPr>
            <w:tcW w:w="2944" w:type="dxa"/>
            <w:gridSpan w:val="3"/>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cs="宋体"/>
                <w:color w:val="000000"/>
                <w:sz w:val="24"/>
                <w:szCs w:val="24"/>
              </w:rPr>
            </w:pPr>
            <w:r>
              <w:rPr>
                <w:rFonts w:hint="eastAsia" w:ascii="宋体" w:cs="宋体"/>
                <w:color w:val="000000"/>
                <w:sz w:val="24"/>
                <w:szCs w:val="24"/>
                <w:lang w:val="en-US" w:eastAsia="zh-CN"/>
              </w:rPr>
              <w:t>小计</w:t>
            </w:r>
          </w:p>
        </w:tc>
        <w:tc>
          <w:tcPr>
            <w:tcW w:w="4198" w:type="dxa"/>
            <w:gridSpan w:val="4"/>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宋体"/>
                <w:color w:val="000000"/>
                <w:sz w:val="24"/>
                <w:szCs w:val="24"/>
                <w:lang w:val="en-US" w:eastAsia="zh-CN"/>
              </w:rPr>
            </w:pPr>
          </w:p>
        </w:tc>
        <w:tc>
          <w:tcPr>
            <w:tcW w:w="15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r>
      <w:tr>
        <w:tblPrEx>
          <w:tblCellMar>
            <w:top w:w="15" w:type="dxa"/>
            <w:left w:w="15" w:type="dxa"/>
            <w:bottom w:w="15" w:type="dxa"/>
            <w:right w:w="15" w:type="dxa"/>
          </w:tblCellMar>
        </w:tblPrEx>
        <w:trPr>
          <w:trHeight w:val="570" w:hRule="atLeast"/>
        </w:trPr>
        <w:tc>
          <w:tcPr>
            <w:tcW w:w="10036"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 w:val="24"/>
                <w:szCs w:val="24"/>
                <w:lang w:val="en-US" w:eastAsia="zh-CN"/>
              </w:rPr>
            </w:pPr>
            <w:r>
              <w:rPr>
                <w:rFonts w:hint="eastAsia" w:ascii="宋体" w:cs="宋体"/>
                <w:color w:val="000000"/>
                <w:sz w:val="24"/>
                <w:szCs w:val="24"/>
                <w:lang w:val="en-US" w:eastAsia="zh-CN"/>
              </w:rPr>
              <w:t>最终优惠：</w:t>
            </w:r>
          </w:p>
        </w:tc>
      </w:tr>
    </w:tbl>
    <w:p>
      <w:pPr>
        <w:pStyle w:val="5"/>
        <w:numPr>
          <w:ilvl w:val="0"/>
          <w:numId w:val="0"/>
        </w:numPr>
        <w:spacing w:line="276" w:lineRule="auto"/>
        <w:ind w:leftChars="0"/>
        <w:jc w:val="left"/>
        <w:rPr>
          <w:rFonts w:hint="eastAsia" w:asciiTheme="minorEastAsia" w:hAnsiTheme="minorEastAsia" w:eastAsiaTheme="minorEastAsia"/>
          <w:sz w:val="28"/>
          <w:szCs w:val="28"/>
        </w:rPr>
      </w:pPr>
    </w:p>
    <w:p>
      <w:pPr>
        <w:numPr>
          <w:ilvl w:val="0"/>
          <w:numId w:val="1"/>
        </w:numPr>
        <w:spacing w:line="276" w:lineRule="auto"/>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维保要求</w:t>
      </w:r>
    </w:p>
    <w:p>
      <w:pPr>
        <w:keepNext w:val="0"/>
        <w:keepLines w:val="0"/>
        <w:pageBreakBefore w:val="0"/>
        <w:widowControl w:val="0"/>
        <w:kinsoku/>
        <w:wordWrap/>
        <w:overflowPunct/>
        <w:topLinePunct w:val="0"/>
        <w:autoSpaceDE/>
        <w:autoSpaceDN/>
        <w:bidi w:val="0"/>
        <w:adjustRightInd/>
        <w:snapToGrid/>
        <w:spacing w:line="480" w:lineRule="exact"/>
        <w:ind w:firstLine="532" w:firstLineChars="200"/>
        <w:jc w:val="left"/>
        <w:textAlignment w:val="auto"/>
        <w:rPr>
          <w:rFonts w:hint="eastAsia" w:ascii="宋体" w:hAnsi="宋体" w:eastAsia="宋体" w:cs="宋体"/>
          <w:spacing w:val="-11"/>
          <w:sz w:val="28"/>
          <w:szCs w:val="28"/>
          <w:lang w:val="en-US" w:eastAsia="zh-CN"/>
        </w:rPr>
      </w:pPr>
      <w:r>
        <w:rPr>
          <w:rFonts w:hint="eastAsia" w:asciiTheme="minorEastAsia" w:hAnsiTheme="minorEastAsia" w:eastAsiaTheme="minorEastAsia"/>
          <w:sz w:val="28"/>
          <w:szCs w:val="28"/>
          <w:lang w:val="en-US" w:eastAsia="zh-CN"/>
        </w:rPr>
        <w:t>2</w:t>
      </w:r>
      <w:r>
        <w:rPr>
          <w:rFonts w:hint="eastAsia" w:ascii="宋体" w:hAnsi="宋体" w:eastAsia="宋体" w:cs="宋体"/>
          <w:spacing w:val="-11"/>
          <w:sz w:val="28"/>
          <w:szCs w:val="28"/>
          <w:lang w:val="en-US" w:eastAsia="zh-CN"/>
        </w:rPr>
        <w:t>.1、每个维保年度到招标人（以下称招标人）设备现场至少 4 次，对系统机组施行预防性检测工作。（一般每季度巡回检查一次）。</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2.2、当系统发生故障时，为快速恢复系统运行，中标单位售后服务人员应首先电话指导招标人进行应急维修处理；在经指导不能处理的情况下，中标单位应立即派出工程师8小时内到达设备现场，不限次数。</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2.3、中标单位应有足够的零配件满足招标人维修应急之需，招标人急需购置地配件必须保证在8小时内满足供应。</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2.4、中标单位按各系统更换耗材明细表要求，耗材按年一次性提供，分次按要求及时更换。</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2.5、中标单位负责协助招标人建立完整的售后服务维修记录档案，以备随时查阅。</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2.6、中标单位负责招标人各设备值班人员的设备日常管理、维护技术的培训工作。</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eastAsia" w:ascii="宋体" w:hAnsi="宋体" w:eastAsia="宋体" w:cs="宋体"/>
          <w:spacing w:val="-11"/>
          <w:sz w:val="28"/>
          <w:szCs w:val="28"/>
          <w:lang w:val="en-US" w:eastAsia="zh-CN"/>
        </w:rPr>
      </w:pPr>
      <w:r>
        <w:rPr>
          <w:rFonts w:hint="eastAsia" w:ascii="宋体" w:hAnsi="宋体" w:eastAsia="宋体" w:cs="宋体"/>
          <w:spacing w:val="-11"/>
          <w:sz w:val="28"/>
          <w:szCs w:val="28"/>
          <w:lang w:val="en-US" w:eastAsia="zh-CN"/>
        </w:rPr>
        <w:t>2.7、对于大型设备（如电机等）的维修，招标人采取地方市场维修时，中标单位必须保证有专业人员进行现场维修指导。</w:t>
      </w:r>
    </w:p>
    <w:p>
      <w:pPr>
        <w:keepNext w:val="0"/>
        <w:keepLines w:val="0"/>
        <w:pageBreakBefore w:val="0"/>
        <w:widowControl w:val="0"/>
        <w:kinsoku/>
        <w:wordWrap/>
        <w:overflowPunct/>
        <w:topLinePunct w:val="0"/>
        <w:autoSpaceDE/>
        <w:autoSpaceDN/>
        <w:bidi w:val="0"/>
        <w:adjustRightInd/>
        <w:snapToGrid/>
        <w:spacing w:line="480" w:lineRule="exact"/>
        <w:ind w:firstLine="488" w:firstLineChars="200"/>
        <w:jc w:val="left"/>
        <w:textAlignment w:val="auto"/>
        <w:rPr>
          <w:rFonts w:hint="default" w:asciiTheme="minorEastAsia" w:hAnsiTheme="minorEastAsia" w:eastAsiaTheme="minorEastAsia"/>
          <w:sz w:val="28"/>
          <w:szCs w:val="28"/>
          <w:lang w:val="en-US" w:eastAsia="zh-CN"/>
        </w:rPr>
      </w:pPr>
      <w:r>
        <w:rPr>
          <w:rFonts w:hint="eastAsia" w:ascii="宋体" w:hAnsi="宋体" w:eastAsia="宋体" w:cs="宋体"/>
          <w:spacing w:val="-11"/>
          <w:sz w:val="28"/>
          <w:szCs w:val="28"/>
          <w:lang w:val="en-US" w:eastAsia="zh-CN"/>
        </w:rPr>
        <w:t>2.8、因系统故障维修需更换零配件，无论招标人是否委托中标单位购买，中标单位必须无条件进行更换，并不收取任何费用。</w:t>
      </w:r>
    </w:p>
    <w:p>
      <w:pPr>
        <w:keepNext w:val="0"/>
        <w:keepLines w:val="0"/>
        <w:pageBreakBefore w:val="0"/>
        <w:widowControl/>
        <w:kinsoku w:val="0"/>
        <w:wordWrap/>
        <w:overflowPunct/>
        <w:topLinePunct w:val="0"/>
        <w:autoSpaceDE w:val="0"/>
        <w:autoSpaceDN w:val="0"/>
        <w:bidi w:val="0"/>
        <w:adjustRightInd w:val="0"/>
        <w:snapToGrid w:val="0"/>
        <w:spacing w:before="34" w:line="440" w:lineRule="exact"/>
        <w:textAlignment w:val="baseline"/>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四、付款方式</w:t>
      </w:r>
    </w:p>
    <w:p>
      <w:pPr>
        <w:spacing w:line="276" w:lineRule="auto"/>
        <w:ind w:firstLine="532" w:firstLineChars="200"/>
        <w:jc w:val="left"/>
        <w:rPr>
          <w:rFonts w:ascii="宋体" w:hAnsi="宋体"/>
          <w:sz w:val="28"/>
          <w:szCs w:val="28"/>
        </w:rPr>
      </w:pPr>
      <w:r>
        <w:rPr>
          <w:rFonts w:hint="eastAsia" w:ascii="宋体" w:hAnsi="宋体"/>
          <w:sz w:val="28"/>
          <w:szCs w:val="28"/>
        </w:rPr>
        <w:t>1、年维保费均实行于当年维保结束前1个月，以正规发票一次性支付。同时，在收到维保款后1个月内，按附表提供下年度维保耗材。</w:t>
      </w:r>
    </w:p>
    <w:p>
      <w:pPr>
        <w:spacing w:line="276" w:lineRule="auto"/>
        <w:ind w:firstLine="532" w:firstLineChars="200"/>
        <w:jc w:val="left"/>
        <w:rPr>
          <w:rFonts w:ascii="宋体"/>
          <w:color w:val="FF0000"/>
          <w:sz w:val="28"/>
          <w:szCs w:val="28"/>
        </w:rPr>
      </w:pPr>
      <w:r>
        <w:rPr>
          <w:rFonts w:hint="eastAsia" w:ascii="宋体" w:hAnsi="宋体"/>
          <w:sz w:val="28"/>
          <w:szCs w:val="28"/>
        </w:rPr>
        <w:t>2、因系统故障维修委托</w:t>
      </w:r>
      <w:r>
        <w:rPr>
          <w:rFonts w:hint="eastAsia" w:ascii="宋体" w:hAnsi="宋体"/>
          <w:sz w:val="28"/>
          <w:szCs w:val="28"/>
          <w:lang w:eastAsia="zh-CN"/>
        </w:rPr>
        <w:t>中标单位</w:t>
      </w:r>
      <w:r>
        <w:rPr>
          <w:rFonts w:hint="eastAsia" w:ascii="宋体" w:hAnsi="宋体"/>
          <w:sz w:val="28"/>
          <w:szCs w:val="28"/>
        </w:rPr>
        <w:t>购买的零配件费用，由</w:t>
      </w:r>
      <w:r>
        <w:rPr>
          <w:rFonts w:hint="eastAsia" w:ascii="宋体" w:hAnsi="宋体"/>
          <w:sz w:val="28"/>
          <w:szCs w:val="28"/>
          <w:lang w:eastAsia="zh-CN"/>
        </w:rPr>
        <w:t>中标单位</w:t>
      </w:r>
      <w:r>
        <w:rPr>
          <w:rFonts w:hint="eastAsia" w:ascii="宋体" w:hAnsi="宋体"/>
          <w:sz w:val="28"/>
          <w:szCs w:val="28"/>
        </w:rPr>
        <w:t>提供发票于当次故障处理完毕后一周内支付当次维修零配件本身的费用。</w:t>
      </w:r>
    </w:p>
    <w:p>
      <w:pPr>
        <w:spacing w:line="276" w:lineRule="auto"/>
        <w:jc w:val="left"/>
        <w:rPr>
          <w:rFonts w:hint="eastAsia" w:ascii="宋体" w:hAnsi="宋体"/>
          <w:b/>
          <w:sz w:val="28"/>
          <w:szCs w:val="28"/>
        </w:rPr>
      </w:pPr>
      <w:r>
        <w:rPr>
          <w:rFonts w:hint="eastAsia" w:ascii="黑体" w:hAnsi="黑体" w:eastAsia="黑体" w:cs="黑体"/>
          <w:b/>
          <w:bCs/>
          <w:spacing w:val="-10"/>
          <w:sz w:val="24"/>
          <w:szCs w:val="24"/>
          <w:lang w:val="en-US" w:eastAsia="zh-CN"/>
        </w:rPr>
        <w:t>五、维保时间</w:t>
      </w:r>
      <w:r>
        <w:rPr>
          <w:rFonts w:hint="eastAsia" w:ascii="宋体" w:hAnsi="宋体"/>
          <w:b/>
          <w:sz w:val="28"/>
          <w:szCs w:val="28"/>
        </w:rPr>
        <w:t xml:space="preserve">   </w:t>
      </w:r>
    </w:p>
    <w:p>
      <w:pPr>
        <w:spacing w:line="276" w:lineRule="auto"/>
        <w:ind w:firstLine="798" w:firstLineChars="300"/>
        <w:jc w:val="left"/>
        <w:rPr>
          <w:rFonts w:hint="default" w:ascii="宋体" w:hAnsi="宋体" w:eastAsia="宋体"/>
          <w:sz w:val="28"/>
          <w:szCs w:val="28"/>
          <w:lang w:val="en-US" w:eastAsia="zh-CN"/>
        </w:rPr>
      </w:pPr>
      <w:r>
        <w:rPr>
          <w:rFonts w:hint="eastAsia" w:ascii="宋体" w:hAnsi="宋体"/>
          <w:sz w:val="28"/>
          <w:szCs w:val="28"/>
        </w:rPr>
        <w:t>本次维保时间暂定3年。</w:t>
      </w:r>
      <w:r>
        <w:rPr>
          <w:rFonts w:hint="eastAsia" w:ascii="宋体" w:hAnsi="宋体"/>
          <w:sz w:val="28"/>
          <w:szCs w:val="28"/>
          <w:lang w:val="en-US" w:eastAsia="zh-CN"/>
        </w:rPr>
        <w:t>合同每年签订1次，年度维保经招标人考核合格后方可签订下一年度合同。</w:t>
      </w: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六、报价说明</w:t>
      </w:r>
    </w:p>
    <w:p>
      <w:pPr>
        <w:spacing w:line="276" w:lineRule="auto"/>
        <w:ind w:firstLine="532" w:firstLineChars="200"/>
        <w:jc w:val="left"/>
        <w:rPr>
          <w:rFonts w:ascii="宋体" w:hAnsi="宋体"/>
          <w:sz w:val="28"/>
          <w:szCs w:val="28"/>
        </w:rPr>
      </w:pPr>
      <w:r>
        <w:rPr>
          <w:rFonts w:hint="eastAsia" w:ascii="宋体" w:hAnsi="宋体"/>
          <w:sz w:val="28"/>
          <w:szCs w:val="28"/>
        </w:rPr>
        <w:t>1、本次维保费用涵盖工程师维保时的人工费、车旅费、住宿费、设备维修保养费及耗材的运输费、保险费等所有费用，</w:t>
      </w:r>
      <w:r>
        <w:rPr>
          <w:rFonts w:hint="eastAsia"/>
          <w:sz w:val="28"/>
          <w:szCs w:val="28"/>
        </w:rPr>
        <w:t>不包括设备故障所需更换配件费用。</w:t>
      </w:r>
    </w:p>
    <w:p>
      <w:pPr>
        <w:spacing w:line="276" w:lineRule="auto"/>
        <w:ind w:firstLine="532" w:firstLineChars="200"/>
        <w:jc w:val="left"/>
        <w:rPr>
          <w:sz w:val="28"/>
          <w:szCs w:val="28"/>
        </w:rPr>
      </w:pPr>
      <w:r>
        <w:rPr>
          <w:rFonts w:hint="eastAsia" w:ascii="宋体" w:hAnsi="宋体"/>
          <w:sz w:val="28"/>
          <w:szCs w:val="28"/>
        </w:rPr>
        <w:t>2、</w:t>
      </w:r>
      <w:r>
        <w:rPr>
          <w:rFonts w:hint="eastAsia"/>
          <w:sz w:val="28"/>
          <w:szCs w:val="28"/>
        </w:rPr>
        <w:t>常用维修配件</w:t>
      </w:r>
      <w:r>
        <w:rPr>
          <w:rFonts w:hint="eastAsia"/>
          <w:sz w:val="28"/>
          <w:szCs w:val="28"/>
          <w:lang w:val="en-US" w:eastAsia="zh-CN"/>
        </w:rPr>
        <w:t>自行列</w:t>
      </w:r>
      <w:r>
        <w:rPr>
          <w:rFonts w:hint="eastAsia"/>
          <w:sz w:val="28"/>
          <w:szCs w:val="28"/>
        </w:rPr>
        <w:t>表报价，且3年内不再变动</w:t>
      </w:r>
      <w:r>
        <w:rPr>
          <w:rFonts w:hint="eastAsia"/>
          <w:sz w:val="28"/>
          <w:szCs w:val="28"/>
          <w:lang w:eastAsia="zh-CN"/>
        </w:rPr>
        <w:t>，</w:t>
      </w:r>
      <w:r>
        <w:rPr>
          <w:rFonts w:hint="eastAsia"/>
          <w:sz w:val="28"/>
          <w:szCs w:val="28"/>
          <w:lang w:val="en-US" w:eastAsia="zh-CN"/>
        </w:rPr>
        <w:t>供评审时综合考量</w:t>
      </w:r>
      <w:r>
        <w:rPr>
          <w:rFonts w:hint="eastAsia"/>
          <w:sz w:val="28"/>
          <w:szCs w:val="28"/>
        </w:rPr>
        <w:t>。</w:t>
      </w:r>
    </w:p>
    <w:p>
      <w:pPr>
        <w:spacing w:line="276" w:lineRule="auto"/>
        <w:ind w:firstLine="532" w:firstLineChars="200"/>
        <w:jc w:val="left"/>
        <w:rPr>
          <w:rFonts w:hint="eastAsia" w:ascii="宋体" w:hAnsi="宋体"/>
          <w:sz w:val="28"/>
          <w:szCs w:val="28"/>
        </w:rPr>
      </w:pPr>
      <w:r>
        <w:rPr>
          <w:rFonts w:hint="eastAsia"/>
          <w:sz w:val="28"/>
          <w:szCs w:val="28"/>
          <w:lang w:val="en-US" w:eastAsia="zh-CN"/>
        </w:rPr>
        <w:t>3</w:t>
      </w:r>
      <w:r>
        <w:rPr>
          <w:rFonts w:hint="eastAsia"/>
          <w:sz w:val="28"/>
          <w:szCs w:val="28"/>
        </w:rPr>
        <w:t>、维保过程中，</w:t>
      </w:r>
      <w:r>
        <w:rPr>
          <w:rFonts w:hint="eastAsia" w:ascii="宋体" w:hAnsi="宋体"/>
          <w:sz w:val="28"/>
          <w:szCs w:val="28"/>
          <w:lang w:eastAsia="zh-CN"/>
        </w:rPr>
        <w:t>招标人</w:t>
      </w:r>
      <w:r>
        <w:rPr>
          <w:rFonts w:hint="eastAsia" w:ascii="宋体" w:hAnsi="宋体"/>
          <w:sz w:val="28"/>
          <w:szCs w:val="28"/>
        </w:rPr>
        <w:t>仅承担：</w:t>
      </w:r>
    </w:p>
    <w:p>
      <w:pPr>
        <w:spacing w:line="276" w:lineRule="auto"/>
        <w:ind w:firstLine="532" w:firstLineChars="200"/>
        <w:jc w:val="left"/>
        <w:rPr>
          <w:rFonts w:hint="eastAsia" w:ascii="宋体" w:hAnsi="宋体"/>
          <w:sz w:val="28"/>
          <w:szCs w:val="28"/>
        </w:rPr>
      </w:pPr>
      <w:r>
        <w:rPr>
          <w:rFonts w:hint="eastAsia" w:ascii="宋体" w:hAnsi="宋体"/>
          <w:sz w:val="28"/>
          <w:szCs w:val="28"/>
        </w:rPr>
        <w:t>⑴、</w:t>
      </w:r>
      <w:r>
        <w:rPr>
          <w:rFonts w:hint="eastAsia" w:ascii="宋体" w:hAnsi="宋体"/>
          <w:sz w:val="28"/>
          <w:szCs w:val="28"/>
          <w:lang w:eastAsia="zh-CN"/>
        </w:rPr>
        <w:t>招标人</w:t>
      </w:r>
      <w:r>
        <w:rPr>
          <w:rFonts w:hint="eastAsia" w:ascii="宋体" w:hAnsi="宋体"/>
          <w:sz w:val="28"/>
          <w:szCs w:val="28"/>
        </w:rPr>
        <w:t>值班人员需按每周一次过滤网清洗和散热器清洁，以保持设备良好的运行环境。</w:t>
      </w:r>
    </w:p>
    <w:p>
      <w:pPr>
        <w:spacing w:line="276" w:lineRule="auto"/>
        <w:ind w:firstLine="532" w:firstLineChars="200"/>
        <w:jc w:val="left"/>
        <w:rPr>
          <w:rFonts w:ascii="宋体"/>
          <w:sz w:val="28"/>
          <w:szCs w:val="28"/>
        </w:rPr>
      </w:pPr>
      <w:r>
        <w:rPr>
          <w:rFonts w:hint="eastAsia" w:ascii="宋体" w:hAnsi="宋体"/>
          <w:sz w:val="28"/>
          <w:szCs w:val="28"/>
        </w:rPr>
        <w:t>⑵</w:t>
      </w:r>
      <w:r>
        <w:rPr>
          <w:rFonts w:hint="eastAsia" w:ascii="宋体" w:hAnsi="宋体"/>
          <w:sz w:val="28"/>
          <w:szCs w:val="28"/>
          <w:lang w:val="en-US" w:eastAsia="zh-CN"/>
        </w:rPr>
        <w:t>各系统</w:t>
      </w:r>
      <w:r>
        <w:rPr>
          <w:rFonts w:hint="eastAsia" w:ascii="宋体" w:hAnsi="宋体"/>
          <w:sz w:val="28"/>
          <w:szCs w:val="28"/>
        </w:rPr>
        <w:t>机房为设备重地，</w:t>
      </w:r>
      <w:r>
        <w:rPr>
          <w:rFonts w:hint="eastAsia" w:ascii="宋体" w:hAnsi="宋体"/>
          <w:sz w:val="28"/>
          <w:szCs w:val="28"/>
          <w:lang w:eastAsia="zh-CN"/>
        </w:rPr>
        <w:t>招标人</w:t>
      </w:r>
      <w:r>
        <w:rPr>
          <w:rFonts w:hint="eastAsia" w:ascii="宋体" w:hAnsi="宋体"/>
          <w:sz w:val="28"/>
          <w:szCs w:val="28"/>
        </w:rPr>
        <w:t>不得允许任何第三方或闲杂人员进入制氧机房重地，以免引起不必要纠纷和安全隐患。</w:t>
      </w: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七、投标报价</w:t>
      </w:r>
    </w:p>
    <w:p>
      <w:pPr>
        <w:spacing w:line="276" w:lineRule="auto"/>
        <w:jc w:val="left"/>
        <w:rPr>
          <w:rFonts w:ascii="宋体" w:hAnsi="宋体"/>
          <w:sz w:val="28"/>
          <w:szCs w:val="28"/>
        </w:rPr>
      </w:pPr>
      <w:r>
        <w:rPr>
          <w:rFonts w:hint="eastAsia" w:ascii="宋体" w:hAnsi="宋体"/>
          <w:sz w:val="28"/>
          <w:szCs w:val="28"/>
        </w:rPr>
        <w:t>1、技术标部分</w:t>
      </w:r>
    </w:p>
    <w:p>
      <w:pPr>
        <w:spacing w:line="276" w:lineRule="auto"/>
        <w:jc w:val="left"/>
        <w:rPr>
          <w:rFonts w:hint="eastAsia" w:ascii="宋体" w:hAnsi="宋体"/>
          <w:sz w:val="28"/>
          <w:szCs w:val="28"/>
          <w:lang w:val="en-US" w:eastAsia="zh-CN"/>
        </w:rPr>
      </w:pPr>
      <w:r>
        <w:rPr>
          <w:rFonts w:hint="eastAsia" w:ascii="宋体" w:hAnsi="宋体"/>
          <w:sz w:val="28"/>
          <w:szCs w:val="28"/>
        </w:rPr>
        <w:t>⑴、企业资</w:t>
      </w:r>
      <w:r>
        <w:rPr>
          <w:rFonts w:hint="eastAsia" w:ascii="宋体" w:hAnsi="宋体"/>
          <w:sz w:val="28"/>
          <w:szCs w:val="28"/>
          <w:lang w:val="en-US" w:eastAsia="zh-CN"/>
        </w:rPr>
        <w:t>格</w:t>
      </w:r>
    </w:p>
    <w:p>
      <w:pPr>
        <w:spacing w:line="276" w:lineRule="auto"/>
        <w:jc w:val="left"/>
        <w:rPr>
          <w:rFonts w:ascii="宋体" w:hAnsi="宋体"/>
          <w:sz w:val="28"/>
          <w:szCs w:val="28"/>
        </w:rPr>
      </w:pPr>
      <w:r>
        <w:rPr>
          <w:rFonts w:hint="eastAsia" w:ascii="宋体" w:hAnsi="宋体"/>
          <w:sz w:val="28"/>
          <w:szCs w:val="28"/>
        </w:rPr>
        <w:t>⑵、同系列机型维保合同原件及联系人、联系方式；</w:t>
      </w:r>
    </w:p>
    <w:p>
      <w:pPr>
        <w:spacing w:line="276" w:lineRule="auto"/>
        <w:jc w:val="left"/>
        <w:rPr>
          <w:rFonts w:ascii="宋体" w:hAnsi="宋体"/>
          <w:sz w:val="28"/>
          <w:szCs w:val="28"/>
        </w:rPr>
      </w:pPr>
      <w:r>
        <w:rPr>
          <w:rFonts w:hint="eastAsia" w:ascii="宋体" w:hAnsi="宋体"/>
          <w:sz w:val="28"/>
          <w:szCs w:val="28"/>
        </w:rPr>
        <w:t>2、商务标部分（请单独密封装订并加盖企业公章）</w:t>
      </w:r>
    </w:p>
    <w:p>
      <w:pPr>
        <w:spacing w:line="276" w:lineRule="auto"/>
        <w:jc w:val="left"/>
        <w:rPr>
          <w:rFonts w:ascii="宋体" w:hAnsi="宋体"/>
          <w:sz w:val="28"/>
          <w:szCs w:val="28"/>
        </w:rPr>
      </w:pPr>
      <w:r>
        <w:rPr>
          <w:rFonts w:hint="eastAsia" w:ascii="宋体" w:hAnsi="宋体"/>
          <w:sz w:val="28"/>
          <w:szCs w:val="28"/>
        </w:rPr>
        <w:t>⑴、年维保价格</w:t>
      </w:r>
    </w:p>
    <w:p>
      <w:pPr>
        <w:spacing w:line="276" w:lineRule="auto"/>
        <w:jc w:val="left"/>
        <w:rPr>
          <w:rFonts w:ascii="宋体" w:hAnsi="宋体"/>
          <w:sz w:val="28"/>
          <w:szCs w:val="28"/>
        </w:rPr>
      </w:pPr>
      <w:r>
        <w:rPr>
          <w:rFonts w:hint="eastAsia" w:ascii="宋体" w:hAnsi="宋体"/>
          <w:sz w:val="28"/>
          <w:szCs w:val="28"/>
        </w:rPr>
        <w:t>⑵、常用维修配件价格</w:t>
      </w:r>
      <w:r>
        <w:rPr>
          <w:rFonts w:hint="eastAsia" w:ascii="宋体" w:hAnsi="宋体"/>
          <w:sz w:val="28"/>
          <w:szCs w:val="28"/>
          <w:lang w:eastAsia="zh-CN"/>
        </w:rPr>
        <w:t>（</w:t>
      </w:r>
      <w:r>
        <w:rPr>
          <w:rFonts w:hint="eastAsia" w:ascii="宋体" w:hAnsi="宋体"/>
          <w:sz w:val="28"/>
          <w:szCs w:val="28"/>
          <w:lang w:val="en-US" w:eastAsia="zh-CN"/>
        </w:rPr>
        <w:t>自行列表，不得少于5个品种，供评审时综合考量</w:t>
      </w:r>
      <w:r>
        <w:rPr>
          <w:rFonts w:hint="eastAsia" w:ascii="宋体" w:hAnsi="宋体"/>
          <w:sz w:val="28"/>
          <w:szCs w:val="28"/>
          <w:lang w:eastAsia="zh-CN"/>
        </w:rPr>
        <w:t>）</w:t>
      </w:r>
      <w:r>
        <w:rPr>
          <w:rFonts w:hint="eastAsia" w:ascii="宋体" w:hAnsi="宋体"/>
          <w:sz w:val="28"/>
          <w:szCs w:val="28"/>
        </w:rPr>
        <w:t>；</w:t>
      </w: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 xml:space="preserve">八、评标方式  </w:t>
      </w:r>
    </w:p>
    <w:p>
      <w:pPr>
        <w:spacing w:line="276" w:lineRule="auto"/>
        <w:ind w:firstLine="532" w:firstLineChars="200"/>
        <w:jc w:val="left"/>
        <w:rPr>
          <w:rFonts w:hint="eastAsia" w:ascii="宋体" w:hAnsi="宋体"/>
          <w:sz w:val="28"/>
          <w:szCs w:val="28"/>
        </w:rPr>
      </w:pPr>
      <w:r>
        <w:rPr>
          <w:rFonts w:hint="eastAsia" w:ascii="宋体" w:hAnsi="宋体" w:cs="Times New Roman"/>
          <w:sz w:val="28"/>
          <w:szCs w:val="28"/>
        </w:rPr>
        <w:t>截止日期后询价方适时组织相关人员进行评审，</w:t>
      </w:r>
      <w:r>
        <w:rPr>
          <w:rFonts w:hint="eastAsia" w:ascii="宋体" w:hAnsi="宋体" w:cs="Times New Roman"/>
          <w:sz w:val="28"/>
          <w:szCs w:val="28"/>
          <w:lang w:val="en-US" w:eastAsia="zh-CN"/>
        </w:rPr>
        <w:t>技术标合格后再评定商务报价，</w:t>
      </w:r>
      <w:r>
        <w:rPr>
          <w:rFonts w:hint="eastAsia" w:ascii="宋体" w:hAnsi="宋体" w:cs="Times New Roman"/>
          <w:sz w:val="28"/>
          <w:szCs w:val="28"/>
        </w:rPr>
        <w:t>拟定最低价入围。</w:t>
      </w:r>
    </w:p>
    <w:p>
      <w:pPr>
        <w:spacing w:line="276" w:lineRule="auto"/>
        <w:jc w:val="left"/>
        <w:rPr>
          <w:rFonts w:hint="eastAsia" w:ascii="黑体" w:hAnsi="黑体" w:eastAsia="黑体" w:cs="黑体"/>
          <w:b/>
          <w:bCs/>
          <w:spacing w:val="-10"/>
          <w:sz w:val="24"/>
          <w:szCs w:val="24"/>
          <w:lang w:val="en-US" w:eastAsia="zh-CN"/>
        </w:rPr>
      </w:pPr>
      <w:r>
        <w:rPr>
          <w:rFonts w:hint="eastAsia" w:ascii="黑体" w:hAnsi="黑体" w:eastAsia="黑体" w:cs="黑体"/>
          <w:b/>
          <w:bCs/>
          <w:spacing w:val="-10"/>
          <w:sz w:val="24"/>
          <w:szCs w:val="24"/>
          <w:lang w:val="en-US" w:eastAsia="zh-CN"/>
        </w:rPr>
        <w:t>九、变更交易方式</w:t>
      </w:r>
    </w:p>
    <w:p>
      <w:pPr>
        <w:spacing w:line="276" w:lineRule="auto"/>
        <w:ind w:firstLine="412" w:firstLineChars="200"/>
        <w:jc w:val="left"/>
        <w:rPr>
          <w:rFonts w:hint="eastAsia" w:ascii="宋体" w:hAnsi="宋体" w:cs="Times New Roman"/>
          <w:sz w:val="28"/>
          <w:szCs w:val="28"/>
        </w:rPr>
      </w:pPr>
      <w:r>
        <w:rPr>
          <w:rFonts w:hint="eastAsia" w:ascii="宋体" w:hAnsi="宋体" w:eastAsia="宋体" w:cs="宋体"/>
          <w:spacing w:val="-10"/>
          <w:sz w:val="24"/>
          <w:szCs w:val="24"/>
          <w:lang w:val="en-US" w:eastAsia="zh-CN"/>
        </w:rPr>
        <w:t>1</w:t>
      </w:r>
      <w:r>
        <w:rPr>
          <w:rFonts w:hint="eastAsia" w:ascii="宋体" w:hAnsi="宋体" w:cs="Times New Roman"/>
          <w:sz w:val="28"/>
          <w:szCs w:val="28"/>
          <w:lang w:val="en-US" w:eastAsia="zh-CN"/>
        </w:rPr>
        <w:t>、</w:t>
      </w:r>
      <w:r>
        <w:rPr>
          <w:rFonts w:hint="eastAsia" w:ascii="宋体" w:hAnsi="宋体" w:cs="Times New Roman"/>
          <w:sz w:val="28"/>
          <w:szCs w:val="28"/>
        </w:rPr>
        <w:t>到投标截止时间后提交投标文件的投标人不足三家，经审查实质性响应招标文件的投标人只有2家，或在评标过程中经评审实质性响应</w:t>
      </w:r>
      <w:r>
        <w:rPr>
          <w:rFonts w:hint="eastAsia" w:ascii="宋体" w:hAnsi="宋体" w:cs="Times New Roman"/>
          <w:sz w:val="28"/>
          <w:szCs w:val="28"/>
          <w:lang w:val="en-US" w:eastAsia="zh-CN"/>
        </w:rPr>
        <w:t>投标文件的投标人</w:t>
      </w:r>
      <w:r>
        <w:rPr>
          <w:rFonts w:hint="eastAsia" w:ascii="宋体" w:hAnsi="宋体" w:cs="Times New Roman"/>
          <w:sz w:val="28"/>
          <w:szCs w:val="28"/>
        </w:rPr>
        <w:t>只有2家的情况，招标人可现场转为竞争性谈判。</w:t>
      </w:r>
    </w:p>
    <w:p>
      <w:pPr>
        <w:spacing w:line="276" w:lineRule="auto"/>
        <w:ind w:firstLine="532" w:firstLineChars="200"/>
        <w:jc w:val="left"/>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到投标截止时间后提交投标文件的投标人不足三家，经审查实质性响应招标文件的投标人只有1家，或在评标过程中经评审实质性响应谁只有1家的情况，招标人可现场转为单一来源。</w:t>
      </w:r>
    </w:p>
    <w:p>
      <w:pPr>
        <w:spacing w:line="276" w:lineRule="auto"/>
        <w:ind w:firstLine="532" w:firstLineChars="200"/>
        <w:jc w:val="left"/>
        <w:rPr>
          <w:rFonts w:hint="eastAsia" w:ascii="宋体" w:hAnsi="宋体" w:cs="Times New Roman"/>
          <w:sz w:val="28"/>
          <w:szCs w:val="28"/>
          <w:lang w:val="en-US" w:eastAsia="zh-CN"/>
        </w:rPr>
      </w:pPr>
      <w:r>
        <w:rPr>
          <w:rFonts w:hint="eastAsia" w:ascii="宋体" w:hAnsi="宋体" w:cs="Times New Roman"/>
          <w:sz w:val="28"/>
          <w:szCs w:val="28"/>
        </w:rPr>
        <w:t>上述文件，请各企业认真领会，并将投标函于20</w:t>
      </w:r>
      <w:r>
        <w:rPr>
          <w:rFonts w:hint="eastAsia" w:ascii="宋体" w:hAnsi="宋体" w:cs="Times New Roman"/>
          <w:sz w:val="28"/>
          <w:szCs w:val="28"/>
          <w:lang w:val="en-US" w:eastAsia="zh-CN"/>
        </w:rPr>
        <w:t>25</w:t>
      </w:r>
      <w:r>
        <w:rPr>
          <w:rFonts w:hint="eastAsia" w:ascii="宋体" w:hAnsi="宋体" w:cs="Times New Roman"/>
          <w:sz w:val="28"/>
          <w:szCs w:val="28"/>
        </w:rPr>
        <w:t>年</w:t>
      </w:r>
      <w:r>
        <w:rPr>
          <w:rFonts w:hint="eastAsia" w:ascii="宋体" w:hAnsi="宋体" w:cs="Times New Roman"/>
          <w:sz w:val="28"/>
          <w:szCs w:val="28"/>
          <w:lang w:val="en-US" w:eastAsia="zh-CN"/>
        </w:rPr>
        <w:t>06</w:t>
      </w:r>
      <w:r>
        <w:rPr>
          <w:rFonts w:hint="eastAsia" w:ascii="宋体" w:hAnsi="宋体" w:cs="Times New Roman"/>
          <w:sz w:val="28"/>
          <w:szCs w:val="28"/>
        </w:rPr>
        <w:t>月</w:t>
      </w:r>
      <w:r>
        <w:rPr>
          <w:rFonts w:hint="eastAsia" w:ascii="宋体" w:hAnsi="宋体" w:cs="Times New Roman"/>
          <w:sz w:val="28"/>
          <w:szCs w:val="28"/>
          <w:lang w:val="en-US" w:eastAsia="zh-CN"/>
        </w:rPr>
        <w:t>21</w:t>
      </w:r>
      <w:r>
        <w:rPr>
          <w:rFonts w:hint="eastAsia" w:ascii="宋体" w:hAnsi="宋体" w:cs="Times New Roman"/>
          <w:sz w:val="28"/>
          <w:szCs w:val="28"/>
        </w:rPr>
        <w:t>日前快递至</w:t>
      </w:r>
      <w:r>
        <w:rPr>
          <w:rFonts w:hint="eastAsia" w:ascii="宋体" w:hAnsi="宋体" w:cs="Times New Roman"/>
          <w:sz w:val="28"/>
          <w:szCs w:val="28"/>
          <w:lang w:eastAsia="zh-CN"/>
        </w:rPr>
        <w:t>天长市中医院</w:t>
      </w:r>
      <w:r>
        <w:rPr>
          <w:rFonts w:hint="eastAsia" w:ascii="宋体" w:hAnsi="宋体" w:cs="Times New Roman"/>
          <w:sz w:val="28"/>
          <w:szCs w:val="28"/>
        </w:rPr>
        <w:t>总务科</w:t>
      </w:r>
      <w:r>
        <w:rPr>
          <w:rFonts w:hint="eastAsia" w:ascii="宋体" w:hAnsi="宋体" w:cs="Times New Roman"/>
          <w:sz w:val="28"/>
          <w:szCs w:val="28"/>
          <w:lang w:eastAsia="zh-CN"/>
        </w:rPr>
        <w:t>，</w:t>
      </w:r>
      <w:r>
        <w:rPr>
          <w:rFonts w:hint="eastAsia" w:ascii="宋体" w:hAnsi="宋体" w:cs="Times New Roman"/>
          <w:sz w:val="28"/>
          <w:szCs w:val="28"/>
          <w:lang w:val="en-US" w:eastAsia="zh-CN"/>
        </w:rPr>
        <w:t>如有疑问，书面传真0550-7021777，联系人刘荣义13955092279、金方有13855017722，</w:t>
      </w:r>
      <w:r>
        <w:rPr>
          <w:rFonts w:hint="eastAsia" w:ascii="宋体" w:hAnsi="宋体" w:cs="Times New Roman"/>
          <w:sz w:val="28"/>
          <w:szCs w:val="28"/>
        </w:rPr>
        <w:t>要求密封投递报价函，报价函表面需注明</w:t>
      </w:r>
      <w:r>
        <w:rPr>
          <w:rFonts w:hint="eastAsia" w:ascii="宋体" w:hAnsi="宋体" w:cs="Times New Roman"/>
          <w:sz w:val="28"/>
          <w:szCs w:val="28"/>
          <w:lang w:val="en-US" w:eastAsia="zh-CN"/>
        </w:rPr>
        <w:t>联</w:t>
      </w:r>
      <w:r>
        <w:rPr>
          <w:rFonts w:hint="eastAsia" w:ascii="宋体" w:hAnsi="宋体" w:cs="Times New Roman"/>
          <w:sz w:val="28"/>
          <w:szCs w:val="28"/>
        </w:rPr>
        <w:t>系人及联系号码，逾期不再接收并作废文件处理。</w:t>
      </w:r>
    </w:p>
    <w:p>
      <w:pPr>
        <w:spacing w:line="276" w:lineRule="auto"/>
        <w:ind w:firstLine="532" w:firstLineChars="200"/>
        <w:jc w:val="left"/>
        <w:rPr>
          <w:rFonts w:hint="eastAsia" w:ascii="宋体" w:hAnsi="宋体" w:cs="Times New Roman"/>
          <w:sz w:val="28"/>
          <w:szCs w:val="28"/>
        </w:rPr>
      </w:pPr>
    </w:p>
    <w:p>
      <w:pPr>
        <w:spacing w:line="276" w:lineRule="auto"/>
        <w:ind w:firstLine="532" w:firstLineChars="200"/>
        <w:jc w:val="left"/>
        <w:rPr>
          <w:rFonts w:hint="eastAsia" w:ascii="宋体" w:hAnsi="宋体" w:cs="Times New Roman"/>
          <w:sz w:val="28"/>
          <w:szCs w:val="28"/>
        </w:rPr>
      </w:pPr>
    </w:p>
    <w:p>
      <w:pPr>
        <w:spacing w:line="276" w:lineRule="auto"/>
        <w:ind w:firstLine="665" w:firstLineChars="25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天长市中医院</w:t>
      </w:r>
    </w:p>
    <w:p>
      <w:pPr>
        <w:rPr>
          <w:rFonts w:hint="default" w:eastAsia="宋体"/>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w:t>
      </w:r>
      <w:r>
        <w:rPr>
          <w:rFonts w:hint="eastAsia" w:ascii="宋体" w:hAnsi="宋体"/>
          <w:sz w:val="28"/>
          <w:szCs w:val="28"/>
          <w:lang w:val="en-US" w:eastAsia="zh-CN"/>
        </w:rPr>
        <w:t>25</w:t>
      </w:r>
      <w:r>
        <w:rPr>
          <w:rFonts w:hint="eastAsia" w:ascii="宋体" w:hAnsi="宋体"/>
          <w:sz w:val="28"/>
          <w:szCs w:val="28"/>
        </w:rPr>
        <w:t>-</w:t>
      </w:r>
      <w:r>
        <w:rPr>
          <w:rFonts w:hint="eastAsia" w:ascii="宋体" w:hAnsi="宋体"/>
          <w:sz w:val="28"/>
          <w:szCs w:val="28"/>
          <w:lang w:val="en-US" w:eastAsia="zh-CN"/>
        </w:rPr>
        <w:t>06</w:t>
      </w:r>
      <w:r>
        <w:rPr>
          <w:rFonts w:hint="eastAsia" w:ascii="宋体" w:hAnsi="宋体"/>
          <w:sz w:val="28"/>
          <w:szCs w:val="28"/>
        </w:rPr>
        <w:t>-</w:t>
      </w:r>
      <w:r>
        <w:rPr>
          <w:rFonts w:hint="eastAsia" w:ascii="宋体" w:hAnsi="宋体"/>
          <w:sz w:val="28"/>
          <w:szCs w:val="28"/>
          <w:lang w:val="en-US" w:eastAsia="zh-CN"/>
        </w:rPr>
        <w:t>12</w:t>
      </w:r>
    </w:p>
    <w:sectPr>
      <w:pgSz w:w="11906" w:h="16838"/>
      <w:pgMar w:top="1383" w:right="1123" w:bottom="1100" w:left="1406" w:header="851" w:footer="992" w:gutter="0"/>
      <w:cols w:space="0" w:num="1"/>
      <w:rtlGutter w:val="0"/>
      <w:docGrid w:type="linesAndChars" w:linePitch="292" w:charSpace="-30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8AC8F"/>
    <w:multiLevelType w:val="singleLevel"/>
    <w:tmpl w:val="5988AC8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98"/>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E7843"/>
    <w:rsid w:val="019F1377"/>
    <w:rsid w:val="112A304B"/>
    <w:rsid w:val="113028FB"/>
    <w:rsid w:val="126B7763"/>
    <w:rsid w:val="40147367"/>
    <w:rsid w:val="4A0E12C5"/>
    <w:rsid w:val="61E3245F"/>
    <w:rsid w:val="656341EB"/>
    <w:rsid w:val="660B1F40"/>
    <w:rsid w:val="724E7843"/>
    <w:rsid w:val="79042E30"/>
    <w:rsid w:val="7BAB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line="240" w:lineRule="auto"/>
      <w:jc w:val="left"/>
      <w:textAlignment w:val="auto"/>
    </w:pPr>
    <w:rPr>
      <w:rFonts w:ascii="宋体" w:hAnsi="宋体" w:eastAsia="宋体" w:cs="宋体"/>
      <w:color w:val="auto"/>
      <w:sz w:val="24"/>
      <w:szCs w:val="24"/>
      <w:u w:val="none" w:color="auto"/>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1964</Words>
  <Characters>2055</Characters>
  <Lines>0</Lines>
  <Paragraphs>0</Paragraphs>
  <TotalTime>32</TotalTime>
  <ScaleCrop>false</ScaleCrop>
  <LinksUpToDate>false</LinksUpToDate>
  <CharactersWithSpaces>2160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2025-06-04T01:08:00Z</dcterms:created>
  <dc:creator>Administrator</dc:creator>
  <cp:lastModifiedBy>香香</cp:lastModifiedBy>
  <dcterms:modified xsi:type="dcterms:W3CDTF">2025-06-12T08:17:38Z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DocerSaveRecord">
    <vt:lpwstr>eyJoZGlkIjoiMjliNmVmYTlhYmUyMWU4MDNjZjhlNDI2M2ViMjZkYjEiLCJ1c2VySWQiOiIxOTY5MjMxODUifQ==</vt:lpwstr>
  </property>
  <property fmtid="{D5CDD505-2E9C-101B-9397-08002B2CF9AE}" pid="4" name="ICV">
    <vt:lpwstr>68BA199752CF432882BD67D79D42FE09_13</vt:lpwstr>
  </property>
</Properties>
</file>