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24" w:lineRule="auto"/>
        <w:ind w:left="3948"/>
        <w:outlineLvl w:val="0"/>
        <w:rPr>
          <w:rFonts w:hint="eastAsia" w:ascii="宋体" w:hAnsi="宋体" w:eastAsia="宋体" w:cs="宋体"/>
          <w:b/>
          <w:bCs/>
          <w:sz w:val="32"/>
          <w:szCs w:val="32"/>
        </w:rPr>
      </w:pPr>
      <w:bookmarkStart w:id="0" w:name="_GoBack"/>
      <w:r>
        <w:rPr>
          <w:rFonts w:hint="eastAsia" w:ascii="宋体" w:hAnsi="宋体" w:eastAsia="宋体" w:cs="宋体"/>
          <w:b/>
          <w:bCs/>
          <w:spacing w:val="4"/>
          <w:sz w:val="32"/>
          <w:szCs w:val="32"/>
        </w:rPr>
        <w:t>天长中医院</w:t>
      </w:r>
    </w:p>
    <w:p>
      <w:pPr>
        <w:jc w:val="center"/>
      </w:pPr>
      <w:r>
        <w:rPr>
          <w:rFonts w:hint="eastAsia" w:ascii="宋体" w:hAnsi="宋体" w:eastAsia="宋体" w:cs="宋体"/>
          <w:b/>
          <w:bCs/>
          <w:sz w:val="32"/>
          <w:szCs w:val="32"/>
          <w:lang w:val="en-US" w:eastAsia="zh-CN"/>
        </w:rPr>
        <w:t>中央空调主机维保项目询价文件（二次）</w:t>
      </w:r>
    </w:p>
    <w:bookmarkEnd w:id="0"/>
    <w:p>
      <w:pPr>
        <w:pStyle w:val="2"/>
        <w:spacing w:line="247" w:lineRule="auto"/>
      </w:pPr>
    </w:p>
    <w:p>
      <w:pPr>
        <w:pStyle w:val="2"/>
        <w:spacing w:line="247" w:lineRule="auto"/>
      </w:pPr>
    </w:p>
    <w:p>
      <w:pPr>
        <w:keepNext w:val="0"/>
        <w:keepLines w:val="0"/>
        <w:pageBreakBefore w:val="0"/>
        <w:widowControl/>
        <w:kinsoku w:val="0"/>
        <w:wordWrap/>
        <w:overflowPunct/>
        <w:topLinePunct w:val="0"/>
        <w:autoSpaceDE w:val="0"/>
        <w:autoSpaceDN w:val="0"/>
        <w:bidi w:val="0"/>
        <w:adjustRightInd w:val="0"/>
        <w:snapToGrid w:val="0"/>
        <w:spacing w:before="34" w:line="440" w:lineRule="exact"/>
        <w:textAlignment w:val="baseline"/>
        <w:rPr>
          <w:rFonts w:hint="eastAsia" w:ascii="黑体" w:hAnsi="黑体" w:eastAsia="黑体" w:cs="黑体"/>
          <w:sz w:val="24"/>
          <w:szCs w:val="24"/>
        </w:rPr>
      </w:pPr>
      <w:r>
        <w:rPr>
          <w:rFonts w:hint="eastAsia" w:ascii="黑体" w:hAnsi="黑体" w:eastAsia="黑体" w:cs="黑体"/>
          <w:b/>
          <w:bCs/>
          <w:spacing w:val="-10"/>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项目名称：天长市中医院中央空调主机维保项目</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最高限价金额：4.0万元(更换主机</w:t>
      </w:r>
      <w:r>
        <w:rPr>
          <w:rFonts w:hint="eastAsia" w:ascii="宋体" w:hAnsi="宋体" w:eastAsia="宋体" w:cs="宋体"/>
          <w:spacing w:val="-2"/>
          <w:sz w:val="24"/>
          <w:szCs w:val="24"/>
        </w:rPr>
        <w:t>冷冻润滑油</w:t>
      </w:r>
      <w:r>
        <w:rPr>
          <w:rFonts w:hint="eastAsia" w:ascii="宋体" w:hAnsi="宋体" w:eastAsia="宋体" w:cs="宋体"/>
          <w:spacing w:val="-2"/>
          <w:sz w:val="24"/>
          <w:szCs w:val="24"/>
          <w:lang w:val="en-US" w:eastAsia="zh-CN"/>
        </w:rPr>
        <w:t>及其附件</w:t>
      </w:r>
      <w:r>
        <w:rPr>
          <w:rFonts w:hint="eastAsia" w:ascii="宋体" w:hAnsi="宋体" w:eastAsia="宋体" w:cs="宋体"/>
          <w:spacing w:val="-11"/>
          <w:sz w:val="24"/>
          <w:szCs w:val="24"/>
          <w:lang w:val="en-US" w:eastAsia="zh-CN"/>
        </w:rPr>
        <w:t>)，投标人的报价不得高于最高限价，否则按无效标处理。</w:t>
      </w:r>
    </w:p>
    <w:p>
      <w:pPr>
        <w:pStyle w:val="2"/>
        <w:spacing w:line="247" w:lineRule="auto"/>
      </w:pPr>
    </w:p>
    <w:p>
      <w:pPr>
        <w:keepNext w:val="0"/>
        <w:keepLines w:val="0"/>
        <w:pageBreakBefore w:val="0"/>
        <w:widowControl/>
        <w:kinsoku w:val="0"/>
        <w:wordWrap/>
        <w:overflowPunct/>
        <w:topLinePunct w:val="0"/>
        <w:autoSpaceDE w:val="0"/>
        <w:autoSpaceDN w:val="0"/>
        <w:bidi w:val="0"/>
        <w:adjustRightInd w:val="0"/>
        <w:snapToGrid w:val="0"/>
        <w:spacing w:before="34" w:line="440" w:lineRule="exact"/>
        <w:textAlignment w:val="baseline"/>
        <w:rPr>
          <w:rFonts w:hint="eastAsia" w:ascii="黑体" w:hAnsi="黑体" w:eastAsia="黑体" w:cs="黑体"/>
          <w:b/>
          <w:bCs/>
          <w:spacing w:val="-10"/>
          <w:sz w:val="24"/>
          <w:szCs w:val="24"/>
          <w:lang w:val="en-US" w:eastAsia="zh-CN"/>
        </w:rPr>
      </w:pPr>
      <w:r>
        <w:rPr>
          <w:rFonts w:hint="eastAsia" w:ascii="宋体" w:hAnsi="宋体" w:eastAsia="宋体" w:cs="宋体"/>
          <w:sz w:val="30"/>
          <w:szCs w:val="30"/>
          <w:lang w:val="en-US" w:eastAsia="zh-CN"/>
          <w14:textOutline w14:w="5442" w14:cap="flat" w14:cmpd="sng">
            <w14:solidFill>
              <w14:srgbClr w14:val="000000"/>
            </w14:solidFill>
            <w14:prstDash w14:val="solid"/>
            <w14:miter w14:val="0"/>
          </w14:textOutline>
        </w:rPr>
        <w:t>二、</w:t>
      </w:r>
      <w:r>
        <w:rPr>
          <w:rFonts w:hint="eastAsia" w:ascii="黑体" w:hAnsi="黑体" w:eastAsia="黑体" w:cs="黑体"/>
          <w:b/>
          <w:bCs/>
          <w:spacing w:val="-10"/>
          <w:sz w:val="24"/>
          <w:szCs w:val="24"/>
          <w:lang w:eastAsia="zh-CN"/>
        </w:rPr>
        <w:t>投标人</w:t>
      </w:r>
      <w:r>
        <w:rPr>
          <w:rFonts w:hint="eastAsia" w:ascii="黑体" w:hAnsi="黑体" w:eastAsia="黑体" w:cs="黑体"/>
          <w:b/>
          <w:bCs/>
          <w:spacing w:val="-10"/>
          <w:sz w:val="24"/>
          <w:szCs w:val="24"/>
        </w:rPr>
        <w:t>的资格要求</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8"/>
          <w:szCs w:val="28"/>
          <w:lang w:val="en-US" w:eastAsia="zh-CN"/>
        </w:rPr>
        <w:t>1</w:t>
      </w:r>
      <w:r>
        <w:rPr>
          <w:rFonts w:hint="eastAsia" w:ascii="宋体" w:hAnsi="宋体" w:eastAsia="宋体" w:cs="宋体"/>
          <w:spacing w:val="-11"/>
          <w:sz w:val="24"/>
          <w:szCs w:val="24"/>
          <w:lang w:val="en-US" w:eastAsia="zh-CN"/>
        </w:rPr>
        <w:t>、必须为中华人民共和国境内注册并具备独立法人资格，符合《中华人民共和国政府采购法》第二十二条的规定；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2、有效的法人营业执照副本、组织机构代码证、税务登记证等（复印件、盖单位公章）；同时具备中国设备维修安装企业能力等级证书制冷空调A类行业资质；</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3、须持有具制冷设备、暖通设备及配件、机电设备、机械设备及配件销售、安装、维修和维护相关资质，且专业从事医疗设备维修保养年限不少于5年；</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4、2023年1月1日以来提供同系列机型维保协议不少于3份；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项目涉及特种设备监管部门的告知或报备等所有事项由投标人全权负责，涉及费用投标人自行承担。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6、投标人自行查看现场，并将结果报至询价人，造成的错误损失与询价人无关。</w:t>
      </w:r>
    </w:p>
    <w:p>
      <w:pPr>
        <w:spacing w:before="98" w:line="220" w:lineRule="auto"/>
        <w:ind w:left="124"/>
        <w:outlineLvl w:val="0"/>
        <w:rPr>
          <w:rFonts w:hint="eastAsia" w:ascii="黑体" w:hAnsi="黑体" w:eastAsia="黑体" w:cs="黑体"/>
          <w:b/>
          <w:bCs/>
          <w:spacing w:val="-10"/>
          <w:sz w:val="24"/>
          <w:szCs w:val="24"/>
          <w:lang w:val="en-US" w:eastAsia="zh-CN"/>
        </w:rPr>
      </w:pPr>
    </w:p>
    <w:p>
      <w:pPr>
        <w:spacing w:before="98" w:line="220" w:lineRule="auto"/>
        <w:ind w:left="124"/>
        <w:outlineLvl w:val="0"/>
        <w:rPr>
          <w:rFonts w:hint="eastAsia" w:ascii="黑体" w:hAnsi="黑体" w:eastAsia="黑体" w:cs="黑体"/>
          <w:b/>
          <w:bCs/>
          <w:spacing w:val="-10"/>
          <w:sz w:val="24"/>
          <w:szCs w:val="24"/>
        </w:rPr>
      </w:pPr>
      <w:r>
        <w:rPr>
          <w:rFonts w:hint="eastAsia" w:ascii="黑体" w:hAnsi="黑体" w:eastAsia="黑体" w:cs="黑体"/>
          <w:b/>
          <w:bCs/>
          <w:spacing w:val="-10"/>
          <w:sz w:val="24"/>
          <w:szCs w:val="24"/>
          <w:lang w:val="en-US" w:eastAsia="zh-CN"/>
        </w:rPr>
        <w:t>三、主机型号及使用情况</w:t>
      </w:r>
    </w:p>
    <w:p>
      <w:pPr>
        <w:spacing w:line="104" w:lineRule="exact"/>
      </w:pPr>
    </w:p>
    <w:tbl>
      <w:tblPr>
        <w:tblStyle w:val="6"/>
        <w:tblW w:w="10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5"/>
        <w:gridCol w:w="1485"/>
        <w:gridCol w:w="876"/>
        <w:gridCol w:w="1359"/>
        <w:gridCol w:w="4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123" w:type="dxa"/>
            <w:gridSpan w:val="5"/>
            <w:vAlign w:val="top"/>
          </w:tcPr>
          <w:p>
            <w:pPr>
              <w:pStyle w:val="7"/>
              <w:spacing w:before="40" w:line="218" w:lineRule="auto"/>
              <w:ind w:left="3139"/>
            </w:pPr>
            <w:r>
              <w:rPr>
                <w14:textOutline w14:w="4354" w14:cap="flat" w14:cmpd="sng">
                  <w14:solidFill>
                    <w14:srgbClr w14:val="000000"/>
                  </w14:solidFill>
                  <w14:prstDash w14:val="solid"/>
                  <w14:miter w14:val="0"/>
                </w14:textOutline>
              </w:rPr>
              <w:t>特灵中央空调冷水机组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045" w:type="dxa"/>
            <w:vAlign w:val="top"/>
          </w:tcPr>
          <w:p>
            <w:pPr>
              <w:pStyle w:val="7"/>
              <w:spacing w:before="36" w:line="222" w:lineRule="auto"/>
              <w:ind w:left="120"/>
              <w:jc w:val="center"/>
              <w:rPr>
                <w:b/>
                <w:bCs/>
              </w:rPr>
            </w:pPr>
            <w:r>
              <w:rPr>
                <w:rFonts w:ascii="宋体" w:hAnsi="宋体" w:eastAsia="宋体" w:cs="宋体"/>
                <w:b/>
                <w:bCs/>
                <w:spacing w:val="-5"/>
              </w:rPr>
              <w:t>机组名</w:t>
            </w:r>
            <w:r>
              <w:rPr>
                <w:b/>
                <w:bCs/>
                <w:spacing w:val="-4"/>
              </w:rPr>
              <w:t>称</w:t>
            </w:r>
          </w:p>
        </w:tc>
        <w:tc>
          <w:tcPr>
            <w:tcW w:w="1485" w:type="dxa"/>
            <w:vAlign w:val="top"/>
          </w:tcPr>
          <w:p>
            <w:pPr>
              <w:pStyle w:val="7"/>
              <w:spacing w:before="37" w:line="221" w:lineRule="auto"/>
              <w:ind w:left="120"/>
              <w:jc w:val="center"/>
              <w:rPr>
                <w:b/>
                <w:bCs/>
              </w:rPr>
            </w:pPr>
            <w:r>
              <w:rPr>
                <w:b/>
                <w:bCs/>
                <w:spacing w:val="-5"/>
              </w:rPr>
              <w:t>型号</w:t>
            </w:r>
          </w:p>
        </w:tc>
        <w:tc>
          <w:tcPr>
            <w:tcW w:w="876" w:type="dxa"/>
            <w:vAlign w:val="top"/>
          </w:tcPr>
          <w:p>
            <w:pPr>
              <w:pStyle w:val="7"/>
              <w:spacing w:before="36" w:line="220" w:lineRule="auto"/>
              <w:ind w:left="115"/>
              <w:jc w:val="center"/>
              <w:rPr>
                <w:b/>
                <w:bCs/>
              </w:rPr>
            </w:pPr>
            <w:r>
              <w:rPr>
                <w:b/>
                <w:bCs/>
                <w:spacing w:val="-3"/>
              </w:rPr>
              <w:t>数量</w:t>
            </w:r>
          </w:p>
        </w:tc>
        <w:tc>
          <w:tcPr>
            <w:tcW w:w="1359" w:type="dxa"/>
            <w:vAlign w:val="top"/>
          </w:tcPr>
          <w:p>
            <w:pPr>
              <w:pStyle w:val="7"/>
              <w:spacing w:before="36" w:line="220" w:lineRule="auto"/>
              <w:ind w:left="134"/>
              <w:jc w:val="center"/>
              <w:rPr>
                <w:b/>
                <w:bCs/>
              </w:rPr>
            </w:pPr>
            <w:r>
              <w:rPr>
                <w:b/>
                <w:bCs/>
                <w:spacing w:val="-8"/>
              </w:rPr>
              <w:t>品牌</w:t>
            </w:r>
          </w:p>
        </w:tc>
        <w:tc>
          <w:tcPr>
            <w:tcW w:w="4358" w:type="dxa"/>
            <w:vAlign w:val="top"/>
          </w:tcPr>
          <w:p>
            <w:pPr>
              <w:pStyle w:val="7"/>
              <w:spacing w:before="37" w:line="221" w:lineRule="auto"/>
              <w:ind w:left="123"/>
              <w:jc w:val="center"/>
              <w:rPr>
                <w:rFonts w:hint="default" w:eastAsia="宋体"/>
                <w:b/>
                <w:bCs/>
                <w:lang w:val="en-US" w:eastAsia="zh-CN"/>
              </w:rPr>
            </w:pPr>
            <w:r>
              <w:rPr>
                <w:rFonts w:hint="eastAsia"/>
                <w:b/>
                <w:bCs/>
                <w:lang w:val="en-US" w:eastAsia="zh-CN"/>
              </w:rPr>
              <w:t>使用情况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2045" w:type="dxa"/>
            <w:vAlign w:val="top"/>
          </w:tcPr>
          <w:p>
            <w:pPr>
              <w:pStyle w:val="7"/>
              <w:spacing w:before="38" w:line="229" w:lineRule="auto"/>
              <w:ind w:left="120" w:right="109"/>
              <w:jc w:val="both"/>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水冷离心式冷 水机组</w:t>
            </w:r>
          </w:p>
        </w:tc>
        <w:tc>
          <w:tcPr>
            <w:tcW w:w="1485" w:type="dxa"/>
            <w:vAlign w:val="top"/>
          </w:tcPr>
          <w:p>
            <w:pPr>
              <w:pStyle w:val="7"/>
              <w:spacing w:before="80" w:line="181" w:lineRule="auto"/>
              <w:ind w:left="110"/>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CVHG480（定频）</w:t>
            </w:r>
          </w:p>
        </w:tc>
        <w:tc>
          <w:tcPr>
            <w:tcW w:w="876" w:type="dxa"/>
            <w:vAlign w:val="top"/>
          </w:tcPr>
          <w:p>
            <w:pPr>
              <w:pStyle w:val="7"/>
              <w:spacing w:before="79" w:line="182" w:lineRule="auto"/>
              <w:ind w:left="131"/>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1</w:t>
            </w:r>
          </w:p>
        </w:tc>
        <w:tc>
          <w:tcPr>
            <w:tcW w:w="1359" w:type="dxa"/>
            <w:vAlign w:val="top"/>
          </w:tcPr>
          <w:p>
            <w:pPr>
              <w:pStyle w:val="7"/>
              <w:spacing w:before="39" w:line="220" w:lineRule="auto"/>
              <w:ind w:left="114"/>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特灵</w:t>
            </w:r>
          </w:p>
        </w:tc>
        <w:tc>
          <w:tcPr>
            <w:tcW w:w="4358" w:type="dxa"/>
            <w:vMerge w:val="restart"/>
            <w:vAlign w:val="top"/>
          </w:tcPr>
          <w:p>
            <w:pPr>
              <w:pStyle w:val="7"/>
              <w:spacing w:before="80" w:line="181" w:lineRule="auto"/>
              <w:ind w:left="121"/>
              <w:rPr>
                <w:rFonts w:hint="default"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2024年4月正式投入使用，目前使用时间均为约2000小时，其中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045" w:type="dxa"/>
            <w:vAlign w:val="top"/>
          </w:tcPr>
          <w:p>
            <w:pPr>
              <w:pStyle w:val="7"/>
              <w:spacing w:before="38" w:line="229" w:lineRule="auto"/>
              <w:ind w:left="120" w:right="109"/>
              <w:jc w:val="both"/>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水冷离心式冷 水机组</w:t>
            </w:r>
          </w:p>
        </w:tc>
        <w:tc>
          <w:tcPr>
            <w:tcW w:w="1485" w:type="dxa"/>
            <w:vAlign w:val="top"/>
          </w:tcPr>
          <w:p>
            <w:pPr>
              <w:pStyle w:val="7"/>
              <w:spacing w:before="38" w:line="229" w:lineRule="auto"/>
              <w:ind w:left="120" w:right="109"/>
              <w:jc w:val="both"/>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CVHF485（变频）</w:t>
            </w:r>
          </w:p>
        </w:tc>
        <w:tc>
          <w:tcPr>
            <w:tcW w:w="876" w:type="dxa"/>
            <w:vAlign w:val="top"/>
          </w:tcPr>
          <w:p>
            <w:pPr>
              <w:pStyle w:val="7"/>
              <w:spacing w:before="38" w:line="229" w:lineRule="auto"/>
              <w:ind w:left="120" w:right="109"/>
              <w:jc w:val="both"/>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1</w:t>
            </w:r>
          </w:p>
        </w:tc>
        <w:tc>
          <w:tcPr>
            <w:tcW w:w="1359" w:type="dxa"/>
            <w:vAlign w:val="top"/>
          </w:tcPr>
          <w:p>
            <w:pPr>
              <w:pStyle w:val="7"/>
              <w:spacing w:before="38" w:line="229" w:lineRule="auto"/>
              <w:ind w:left="120" w:right="109"/>
              <w:jc w:val="both"/>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特灵</w:t>
            </w:r>
          </w:p>
        </w:tc>
        <w:tc>
          <w:tcPr>
            <w:tcW w:w="4358" w:type="dxa"/>
            <w:vMerge w:val="continue"/>
            <w:vAlign w:val="top"/>
          </w:tcPr>
          <w:p>
            <w:pPr>
              <w:pStyle w:val="7"/>
              <w:spacing w:before="79" w:line="181" w:lineRule="auto"/>
              <w:ind w:left="116"/>
            </w:pPr>
          </w:p>
        </w:tc>
      </w:tr>
    </w:tbl>
    <w:p>
      <w:pPr>
        <w:spacing w:before="98" w:line="220" w:lineRule="auto"/>
        <w:ind w:left="124"/>
        <w:outlineLvl w:val="0"/>
        <w:rPr>
          <w:rFonts w:hint="eastAsia" w:ascii="黑体" w:hAnsi="黑体" w:eastAsia="黑体" w:cs="黑体"/>
          <w:b/>
          <w:bCs/>
          <w:spacing w:val="-10"/>
          <w:sz w:val="24"/>
          <w:szCs w:val="24"/>
          <w:lang w:val="en-US" w:eastAsia="zh-CN"/>
        </w:rPr>
      </w:pPr>
    </w:p>
    <w:p>
      <w:pPr>
        <w:spacing w:before="98" w:line="220" w:lineRule="auto"/>
        <w:ind w:left="124"/>
        <w:outlineLvl w:val="0"/>
        <w:rPr>
          <w:rFonts w:hint="eastAsia" w:ascii="宋体" w:hAnsi="宋体" w:eastAsia="宋体" w:cs="宋体"/>
          <w:spacing w:val="-11"/>
          <w:sz w:val="28"/>
          <w:szCs w:val="28"/>
          <w:lang w:val="en-US" w:eastAsia="zh-CN"/>
        </w:rPr>
      </w:pPr>
      <w:r>
        <w:rPr>
          <w:rFonts w:hint="eastAsia" w:ascii="黑体" w:hAnsi="黑体" w:eastAsia="黑体" w:cs="黑体"/>
          <w:b/>
          <w:bCs/>
          <w:spacing w:val="-10"/>
          <w:sz w:val="24"/>
          <w:szCs w:val="24"/>
          <w:lang w:val="en-US" w:eastAsia="zh-CN"/>
        </w:rPr>
        <w:t>四、维修保养内容及更换耗材</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8"/>
          <w:szCs w:val="28"/>
          <w:lang w:val="en-US" w:eastAsia="zh-CN"/>
        </w:rPr>
        <w:t>1</w:t>
      </w:r>
      <w:r>
        <w:rPr>
          <w:rFonts w:hint="eastAsia" w:ascii="宋体" w:hAnsi="宋体" w:eastAsia="宋体" w:cs="宋体"/>
          <w:spacing w:val="-11"/>
          <w:sz w:val="24"/>
          <w:szCs w:val="24"/>
          <w:lang w:val="en-US" w:eastAsia="zh-CN"/>
        </w:rPr>
        <w:t>、</w:t>
      </w:r>
      <w:r>
        <w:rPr>
          <w:rFonts w:hint="eastAsia" w:ascii="宋体" w:hAnsi="宋体" w:eastAsia="宋体" w:cs="宋体"/>
          <w:b/>
          <w:bCs/>
          <w:spacing w:val="-11"/>
          <w:sz w:val="24"/>
          <w:szCs w:val="24"/>
          <w:lang w:val="en-US" w:eastAsia="zh-CN"/>
        </w:rPr>
        <w:t>日常保养</w:t>
      </w:r>
      <w:r>
        <w:rPr>
          <w:rFonts w:hint="eastAsia" w:ascii="宋体" w:hAnsi="宋体" w:eastAsia="宋体" w:cs="宋体"/>
          <w:spacing w:val="-11"/>
          <w:sz w:val="24"/>
          <w:szCs w:val="24"/>
          <w:lang w:val="en-US" w:eastAsia="zh-CN"/>
        </w:rPr>
        <w:t xml:space="preserve">   本次维保主要为机组冷冻润滑油更换，同时包含但不限于下述附带检测及保养：</w:t>
      </w:r>
    </w:p>
    <w:p>
      <w:pPr>
        <w:spacing w:before="182" w:line="219" w:lineRule="auto"/>
        <w:rPr>
          <w:rFonts w:ascii="宋体" w:hAnsi="宋体" w:eastAsia="宋体" w:cs="宋体"/>
          <w:b/>
          <w:bCs/>
          <w:sz w:val="24"/>
          <w:szCs w:val="24"/>
        </w:rPr>
      </w:pPr>
      <w:r>
        <w:rPr>
          <w:rFonts w:hint="eastAsia" w:ascii="宋体" w:hAnsi="宋体" w:eastAsia="宋体" w:cs="宋体"/>
          <w:b/>
          <w:bCs/>
          <w:spacing w:val="-2"/>
          <w:sz w:val="24"/>
          <w:szCs w:val="24"/>
          <w:lang w:val="en-US" w:eastAsia="zh-CN"/>
        </w:rPr>
        <w:t>1.1、对</w:t>
      </w:r>
      <w:r>
        <w:rPr>
          <w:rFonts w:ascii="宋体" w:hAnsi="宋体" w:eastAsia="宋体" w:cs="宋体"/>
          <w:b/>
          <w:bCs/>
          <w:spacing w:val="-2"/>
          <w:sz w:val="24"/>
          <w:szCs w:val="24"/>
        </w:rPr>
        <w:t>机组运行期间进行下列各项检查，确保机组运行高效、可靠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ascii="宋体" w:hAnsi="宋体" w:eastAsia="宋体" w:cs="宋体"/>
          <w:spacing w:val="-4"/>
          <w:sz w:val="24"/>
          <w:szCs w:val="24"/>
        </w:rPr>
        <w:t>1</w:t>
      </w:r>
      <w:r>
        <w:rPr>
          <w:rFonts w:hint="eastAsia" w:ascii="宋体" w:hAnsi="宋体" w:eastAsia="宋体" w:cs="宋体"/>
          <w:spacing w:val="-11"/>
          <w:sz w:val="24"/>
          <w:szCs w:val="24"/>
          <w:lang w:val="en-US" w:eastAsia="zh-CN"/>
        </w:rPr>
        <w:t>.1.1.检查冷水机组，调整安全控制装置；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1.1.2.检查抽气装置；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1.1.3.检查控制装置的运行状态；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1.1.4.检查油位和制冷剂液位；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1.1.5.检查润滑系统；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1.1.6.检查回油系统；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1.1.7.清洁接触器、检查电机和启动装置的运行；</w:t>
      </w:r>
    </w:p>
    <w:p>
      <w:pPr>
        <w:spacing w:before="182" w:line="219" w:lineRule="auto"/>
        <w:rPr>
          <w:rFonts w:hint="eastAsia" w:ascii="宋体" w:hAnsi="宋体" w:eastAsia="宋体" w:cs="宋体"/>
          <w:b/>
          <w:bCs/>
          <w:sz w:val="24"/>
          <w:szCs w:val="24"/>
          <w:lang w:val="en-US" w:eastAsia="zh-CN"/>
        </w:rPr>
      </w:pPr>
      <w:r>
        <w:rPr>
          <w:rFonts w:ascii="宋体" w:hAnsi="宋体" w:eastAsia="宋体" w:cs="宋体"/>
          <w:b/>
          <w:bCs/>
          <w:spacing w:val="-2"/>
          <w:sz w:val="24"/>
          <w:szCs w:val="24"/>
        </w:rPr>
        <w:t>1.</w:t>
      </w:r>
      <w:r>
        <w:rPr>
          <w:rFonts w:hint="eastAsia" w:ascii="宋体" w:hAnsi="宋体" w:eastAsia="宋体" w:cs="宋体"/>
          <w:b/>
          <w:bCs/>
          <w:spacing w:val="-2"/>
          <w:sz w:val="24"/>
          <w:szCs w:val="24"/>
          <w:lang w:val="en-US" w:eastAsia="zh-CN"/>
        </w:rPr>
        <w:t>2、</w:t>
      </w:r>
      <w:r>
        <w:rPr>
          <w:rFonts w:ascii="宋体" w:hAnsi="宋体" w:eastAsia="宋体" w:cs="宋体"/>
          <w:b/>
          <w:bCs/>
          <w:spacing w:val="-2"/>
          <w:sz w:val="24"/>
          <w:szCs w:val="24"/>
        </w:rPr>
        <w:t>检查压缩机</w:t>
      </w:r>
      <w:r>
        <w:rPr>
          <w:rFonts w:hint="eastAsia" w:ascii="宋体" w:hAnsi="宋体" w:eastAsia="宋体" w:cs="宋体"/>
          <w:b/>
          <w:bCs/>
          <w:spacing w:val="-2"/>
          <w:sz w:val="24"/>
          <w:szCs w:val="24"/>
          <w:lang w:eastAsia="zh-CN"/>
        </w:rPr>
        <w:t>、</w:t>
      </w:r>
      <w:r>
        <w:rPr>
          <w:rFonts w:ascii="宋体" w:hAnsi="宋体" w:eastAsia="宋体" w:cs="宋体"/>
          <w:b/>
          <w:bCs/>
          <w:spacing w:val="-2"/>
          <w:sz w:val="24"/>
          <w:szCs w:val="24"/>
        </w:rPr>
        <w:t>电机组件</w:t>
      </w:r>
      <w:r>
        <w:rPr>
          <w:rFonts w:hint="eastAsia" w:ascii="宋体" w:hAnsi="宋体" w:eastAsia="宋体" w:cs="宋体"/>
          <w:b/>
          <w:bCs/>
          <w:spacing w:val="-2"/>
          <w:sz w:val="24"/>
          <w:szCs w:val="24"/>
          <w:lang w:val="en-US" w:eastAsia="zh-CN"/>
        </w:rPr>
        <w:t>及</w:t>
      </w:r>
      <w:r>
        <w:rPr>
          <w:rFonts w:ascii="宋体" w:hAnsi="宋体" w:eastAsia="宋体" w:cs="宋体"/>
          <w:b/>
          <w:bCs/>
          <w:spacing w:val="-4"/>
          <w:sz w:val="24"/>
          <w:szCs w:val="24"/>
        </w:rPr>
        <w:t>过载保护装置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"1.3.1.1"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1.2.1</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记录电压，用兆欧表测量和记录电机绕组的电阻；；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"1.3.1.2"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1.2.2</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润滑开式电机；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"1.3.1.3"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1.2.3</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检查确认开式电机驱动装置的定位；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"1.3.1.4"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1.2.4</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检查联轴器；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"1.3.1.6"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1.2.5</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检查密封情况；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"1.3.1.7"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1.2.6</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.检查入口导叶操作机构和联接机构；润滑需要润滑的部位。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"1.3.2.5"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1.2.7</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检查所有其它的润滑油系统部件，包括油冷却器、油过滤器和电磁阀等； </w:t>
      </w:r>
    </w:p>
    <w:p>
      <w:pPr>
        <w:spacing w:before="184" w:line="289" w:lineRule="auto"/>
        <w:ind w:right="927"/>
        <w:rPr>
          <w:rFonts w:ascii="宋体" w:hAnsi="宋体" w:eastAsia="宋体" w:cs="宋体"/>
          <w:b/>
          <w:bCs/>
          <w:sz w:val="24"/>
          <w:szCs w:val="24"/>
        </w:rPr>
      </w:pPr>
      <w:r>
        <w:rPr>
          <w:rFonts w:ascii="宋体" w:hAnsi="宋体" w:eastAsia="宋体" w:cs="宋体"/>
          <w:b/>
          <w:bCs/>
          <w:spacing w:val="-4"/>
          <w:sz w:val="24"/>
          <w:szCs w:val="24"/>
        </w:rPr>
        <w:t>1.3</w:t>
      </w:r>
      <w:r>
        <w:rPr>
          <w:rFonts w:hint="eastAsia" w:ascii="宋体" w:hAnsi="宋体" w:eastAsia="宋体" w:cs="宋体"/>
          <w:b/>
          <w:bCs/>
          <w:spacing w:val="-4"/>
          <w:sz w:val="24"/>
          <w:szCs w:val="24"/>
          <w:lang w:eastAsia="zh-CN"/>
        </w:rPr>
        <w:t>、</w:t>
      </w:r>
      <w:r>
        <w:rPr>
          <w:rFonts w:ascii="宋体" w:hAnsi="宋体" w:eastAsia="宋体" w:cs="宋体"/>
          <w:b/>
          <w:bCs/>
          <w:spacing w:val="-5"/>
          <w:sz w:val="24"/>
          <w:szCs w:val="24"/>
        </w:rPr>
        <w:t>检查控制中心，确定下列各项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"1.3.4.1"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1.3.1</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执行诊断检查程序；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"1.3.4.2"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1.3.2</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检查安全停机运行状态；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"1.3.4.3"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1.3.3</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检查所有接线端，并拧紧；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"1.3.4.4"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1.3.4</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检查显示数据的精度和设定值。</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1.3.5.清洗盘管进液管的孔板；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"1.3.5.6"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1.3.6</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.清洁电磁阀及清洗污染的气体过滤器；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"1.3.5.8"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1.3.7</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.检查加热器的运行；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宋体"/>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"1.3.5.9"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1.3.8</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.检查确认所有部件的运行状态正常，记录压力控制设定点。</w:t>
      </w:r>
      <w:r>
        <w:rPr>
          <w:rFonts w:ascii="宋体" w:hAnsi="宋体" w:eastAsia="宋体" w:cs="宋体"/>
          <w:sz w:val="24"/>
          <w:szCs w:val="24"/>
        </w:rPr>
        <w:t xml:space="preserve"> </w:t>
      </w:r>
    </w:p>
    <w:p>
      <w:pPr>
        <w:numPr>
          <w:ilvl w:val="0"/>
          <w:numId w:val="0"/>
        </w:numPr>
        <w:rPr>
          <w:rFonts w:hint="eastAsia" w:eastAsia="宋体"/>
          <w:lang w:val="en-US" w:eastAsia="zh-CN"/>
        </w:rPr>
      </w:pPr>
    </w:p>
    <w:p>
      <w:pPr>
        <w:numPr>
          <w:ilvl w:val="0"/>
          <w:numId w:val="0"/>
        </w:numPr>
        <w:rPr>
          <w:rFonts w:hint="default" w:ascii="宋体" w:hAnsi="宋体" w:eastAsia="宋体" w:cs="宋体"/>
          <w:b/>
          <w:bCs/>
          <w:spacing w:val="-11"/>
          <w:sz w:val="24"/>
          <w:szCs w:val="24"/>
          <w:lang w:val="en-US" w:eastAsia="zh-CN"/>
        </w:rPr>
        <w:sectPr>
          <w:headerReference r:id="rId5" w:type="default"/>
          <w:footerReference r:id="rId6" w:type="default"/>
          <w:pgSz w:w="11907" w:h="16839"/>
          <w:pgMar w:top="1332" w:right="811" w:bottom="1361" w:left="967" w:header="852" w:footer="1161" w:gutter="0"/>
          <w:cols w:equalWidth="0" w:num="1">
            <w:col w:w="10129"/>
          </w:cols>
        </w:sectPr>
      </w:pPr>
      <w:r>
        <w:rPr>
          <w:rFonts w:hint="eastAsia" w:eastAsia="宋体"/>
          <w:lang w:val="en-US" w:eastAsia="zh-CN"/>
        </w:rPr>
        <w:t>2</w:t>
      </w:r>
      <w:r>
        <w:rPr>
          <w:rFonts w:hint="eastAsia" w:ascii="宋体" w:hAnsi="宋体" w:eastAsia="宋体" w:cs="宋体"/>
          <w:b/>
          <w:bCs/>
          <w:spacing w:val="-11"/>
          <w:sz w:val="24"/>
          <w:szCs w:val="24"/>
          <w:lang w:val="en-US" w:eastAsia="zh-CN"/>
        </w:rPr>
        <w:t>、更换耗材明细</w:t>
      </w:r>
    </w:p>
    <w:p>
      <w:pPr>
        <w:spacing w:before="95" w:line="185" w:lineRule="auto"/>
        <w:ind w:left="437"/>
        <w:rPr>
          <w:rFonts w:ascii="宋体" w:hAnsi="宋体" w:eastAsia="宋体" w:cs="宋体"/>
          <w:sz w:val="24"/>
          <w:szCs w:val="24"/>
        </w:rPr>
      </w:pPr>
    </w:p>
    <w:tbl>
      <w:tblPr>
        <w:tblStyle w:val="6"/>
        <w:tblW w:w="10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626"/>
        <w:gridCol w:w="669"/>
        <w:gridCol w:w="996"/>
        <w:gridCol w:w="825"/>
        <w:gridCol w:w="735"/>
        <w:gridCol w:w="735"/>
        <w:gridCol w:w="1965"/>
        <w:gridCol w:w="19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25" w:type="dxa"/>
            <w:vAlign w:val="top"/>
          </w:tcPr>
          <w:p>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编号</w:t>
            </w:r>
          </w:p>
        </w:tc>
        <w:tc>
          <w:tcPr>
            <w:tcW w:w="1626" w:type="dxa"/>
            <w:vAlign w:val="top"/>
          </w:tcPr>
          <w:p>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材料名称</w:t>
            </w:r>
          </w:p>
        </w:tc>
        <w:tc>
          <w:tcPr>
            <w:tcW w:w="1665" w:type="dxa"/>
            <w:gridSpan w:val="2"/>
            <w:vAlign w:val="top"/>
          </w:tcPr>
          <w:p>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型号</w:t>
            </w:r>
          </w:p>
        </w:tc>
        <w:tc>
          <w:tcPr>
            <w:tcW w:w="825" w:type="dxa"/>
            <w:vAlign w:val="top"/>
          </w:tcPr>
          <w:p>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品牌</w:t>
            </w:r>
          </w:p>
        </w:tc>
        <w:tc>
          <w:tcPr>
            <w:tcW w:w="735" w:type="dxa"/>
            <w:vAlign w:val="top"/>
          </w:tcPr>
          <w:p>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数量</w:t>
            </w:r>
          </w:p>
        </w:tc>
        <w:tc>
          <w:tcPr>
            <w:tcW w:w="735" w:type="dxa"/>
            <w:vAlign w:val="top"/>
          </w:tcPr>
          <w:p>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单位</w:t>
            </w:r>
          </w:p>
        </w:tc>
        <w:tc>
          <w:tcPr>
            <w:tcW w:w="1965" w:type="dxa"/>
            <w:vAlign w:val="top"/>
          </w:tcPr>
          <w:p>
            <w:pPr>
              <w:pStyle w:val="7"/>
              <w:spacing w:before="39" w:line="231" w:lineRule="auto"/>
              <w:ind w:left="116" w:right="108"/>
              <w:jc w:val="both"/>
              <w:rPr>
                <w:rFonts w:hint="eastAsia" w:ascii="仿宋" w:hAnsi="仿宋" w:eastAsia="仿宋" w:cs="仿宋"/>
                <w:b/>
                <w:bCs/>
                <w:lang w:val="en-US" w:eastAsia="zh-CN"/>
              </w:rPr>
            </w:pPr>
            <w:r>
              <w:rPr>
                <w:rFonts w:hint="eastAsia" w:ascii="仿宋" w:hAnsi="仿宋" w:eastAsia="仿宋" w:cs="仿宋"/>
                <w:b/>
                <w:bCs/>
                <w:lang w:val="en-US" w:eastAsia="zh-CN"/>
              </w:rPr>
              <w:t>投标单价（元）</w:t>
            </w:r>
          </w:p>
        </w:tc>
        <w:tc>
          <w:tcPr>
            <w:tcW w:w="1965" w:type="dxa"/>
            <w:vAlign w:val="top"/>
          </w:tcPr>
          <w:p>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投标金额（元）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25" w:type="dxa"/>
            <w:tcBorders>
              <w:bottom w:val="single" w:color="auto" w:sz="4" w:space="0"/>
            </w:tcBorders>
            <w:vAlign w:val="top"/>
          </w:tcPr>
          <w:p>
            <w:pPr>
              <w:pStyle w:val="7"/>
              <w:spacing w:before="43" w:line="235" w:lineRule="auto"/>
              <w:ind w:left="120" w:right="10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26" w:type="dxa"/>
            <w:tcBorders>
              <w:bottom w:val="single" w:color="auto" w:sz="4" w:space="0"/>
            </w:tcBorders>
            <w:vAlign w:val="top"/>
          </w:tcPr>
          <w:p>
            <w:pPr>
              <w:pStyle w:val="7"/>
              <w:spacing w:before="43" w:line="220" w:lineRule="auto"/>
              <w:ind w:left="114"/>
              <w:jc w:val="center"/>
              <w:rPr>
                <w:rFonts w:hint="eastAsia" w:ascii="宋体" w:hAnsi="宋体" w:eastAsia="宋体" w:cs="宋体"/>
                <w:sz w:val="24"/>
                <w:szCs w:val="24"/>
              </w:rPr>
            </w:pPr>
            <w:r>
              <w:rPr>
                <w:rFonts w:hint="eastAsia" w:ascii="宋体" w:hAnsi="宋体" w:eastAsia="宋体" w:cs="宋体"/>
                <w:spacing w:val="-2"/>
                <w:sz w:val="24"/>
                <w:szCs w:val="24"/>
              </w:rPr>
              <w:t>冷冻润滑油</w:t>
            </w:r>
          </w:p>
        </w:tc>
        <w:tc>
          <w:tcPr>
            <w:tcW w:w="1665" w:type="dxa"/>
            <w:gridSpan w:val="2"/>
            <w:vAlign w:val="top"/>
          </w:tcPr>
          <w:p>
            <w:pPr>
              <w:pStyle w:val="7"/>
              <w:spacing w:before="83" w:line="181" w:lineRule="auto"/>
              <w:ind w:left="112"/>
              <w:jc w:val="center"/>
              <w:rPr>
                <w:rFonts w:hint="eastAsia" w:ascii="宋体" w:hAnsi="宋体" w:eastAsia="宋体" w:cs="宋体"/>
                <w:sz w:val="24"/>
                <w:szCs w:val="24"/>
              </w:rPr>
            </w:pPr>
            <w:r>
              <w:rPr>
                <w:rFonts w:hint="eastAsia" w:ascii="宋体" w:hAnsi="宋体" w:eastAsia="宋体" w:cs="宋体"/>
                <w:spacing w:val="-1"/>
                <w:sz w:val="24"/>
                <w:szCs w:val="24"/>
              </w:rPr>
              <w:t>OIL000372</w:t>
            </w:r>
          </w:p>
          <w:p>
            <w:pPr>
              <w:pStyle w:val="7"/>
              <w:spacing w:before="35" w:line="205" w:lineRule="auto"/>
              <w:ind w:left="120"/>
              <w:jc w:val="center"/>
              <w:rPr>
                <w:rFonts w:hint="eastAsia" w:ascii="宋体" w:hAnsi="宋体" w:eastAsia="宋体" w:cs="宋体"/>
                <w:sz w:val="24"/>
                <w:szCs w:val="24"/>
              </w:rPr>
            </w:pPr>
            <w:r>
              <w:rPr>
                <w:rFonts w:hint="eastAsia" w:ascii="宋体" w:hAnsi="宋体" w:eastAsia="宋体" w:cs="宋体"/>
                <w:spacing w:val="-3"/>
                <w:sz w:val="24"/>
                <w:szCs w:val="24"/>
              </w:rPr>
              <w:t>（2.5Gal/桶）</w:t>
            </w:r>
          </w:p>
        </w:tc>
        <w:tc>
          <w:tcPr>
            <w:tcW w:w="825" w:type="dxa"/>
            <w:vAlign w:val="top"/>
          </w:tcPr>
          <w:p>
            <w:pPr>
              <w:pStyle w:val="7"/>
              <w:spacing w:before="42" w:line="220" w:lineRule="auto"/>
              <w:ind w:left="114"/>
              <w:jc w:val="center"/>
              <w:rPr>
                <w:rFonts w:hint="eastAsia" w:ascii="宋体" w:hAnsi="宋体" w:eastAsia="宋体" w:cs="宋体"/>
                <w:sz w:val="24"/>
                <w:szCs w:val="24"/>
              </w:rPr>
            </w:pPr>
            <w:r>
              <w:rPr>
                <w:rFonts w:hint="eastAsia" w:ascii="宋体" w:hAnsi="宋体" w:eastAsia="宋体" w:cs="宋体"/>
                <w:spacing w:val="-3"/>
                <w:sz w:val="24"/>
                <w:szCs w:val="24"/>
              </w:rPr>
              <w:t>特灵</w:t>
            </w:r>
          </w:p>
        </w:tc>
        <w:tc>
          <w:tcPr>
            <w:tcW w:w="735" w:type="dxa"/>
            <w:vAlign w:val="top"/>
          </w:tcPr>
          <w:p>
            <w:pPr>
              <w:pStyle w:val="7"/>
              <w:spacing w:before="83" w:line="181" w:lineRule="auto"/>
              <w:ind w:left="118"/>
              <w:jc w:val="center"/>
              <w:rPr>
                <w:rFonts w:hint="eastAsia" w:ascii="宋体" w:hAnsi="宋体" w:eastAsia="宋体" w:cs="宋体"/>
                <w:sz w:val="24"/>
                <w:szCs w:val="24"/>
                <w:lang w:eastAsia="zh-CN"/>
              </w:rPr>
            </w:pPr>
            <w:r>
              <w:rPr>
                <w:rFonts w:hint="eastAsia" w:ascii="宋体" w:hAnsi="宋体" w:eastAsia="宋体" w:cs="宋体"/>
                <w:spacing w:val="-4"/>
                <w:sz w:val="24"/>
                <w:szCs w:val="24"/>
                <w:lang w:val="en-US" w:eastAsia="zh-CN"/>
              </w:rPr>
              <w:t>8</w:t>
            </w:r>
          </w:p>
        </w:tc>
        <w:tc>
          <w:tcPr>
            <w:tcW w:w="735" w:type="dxa"/>
            <w:vAlign w:val="top"/>
          </w:tcPr>
          <w:p>
            <w:pPr>
              <w:pStyle w:val="7"/>
              <w:spacing w:before="42" w:line="220" w:lineRule="auto"/>
              <w:ind w:left="117"/>
              <w:jc w:val="center"/>
              <w:rPr>
                <w:rFonts w:hint="eastAsia" w:ascii="宋体" w:hAnsi="宋体" w:eastAsia="宋体" w:cs="宋体"/>
                <w:sz w:val="24"/>
                <w:szCs w:val="24"/>
              </w:rPr>
            </w:pPr>
            <w:r>
              <w:rPr>
                <w:rFonts w:hint="eastAsia" w:ascii="宋体" w:hAnsi="宋体" w:eastAsia="宋体" w:cs="宋体"/>
                <w:sz w:val="24"/>
                <w:szCs w:val="24"/>
              </w:rPr>
              <w:t>桶</w:t>
            </w:r>
          </w:p>
        </w:tc>
        <w:tc>
          <w:tcPr>
            <w:tcW w:w="1965" w:type="dxa"/>
            <w:vAlign w:val="top"/>
          </w:tcPr>
          <w:p>
            <w:pPr>
              <w:pStyle w:val="7"/>
              <w:spacing w:before="82" w:line="182" w:lineRule="auto"/>
              <w:ind w:left="133"/>
            </w:pPr>
          </w:p>
        </w:tc>
        <w:tc>
          <w:tcPr>
            <w:tcW w:w="1965" w:type="dxa"/>
            <w:vAlign w:val="top"/>
          </w:tcPr>
          <w:p>
            <w:pPr>
              <w:pStyle w:val="7"/>
              <w:spacing w:before="83" w:line="181" w:lineRule="auto"/>
              <w:ind w:left="12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725" w:type="dxa"/>
            <w:tcBorders>
              <w:top w:val="single" w:color="auto" w:sz="4" w:space="0"/>
              <w:bottom w:val="single" w:color="auto"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26" w:type="dxa"/>
            <w:tcBorders>
              <w:top w:val="single" w:color="auto" w:sz="4" w:space="0"/>
              <w:bottom w:val="single" w:color="auto" w:sz="4" w:space="0"/>
            </w:tcBorders>
            <w:vAlign w:val="top"/>
          </w:tcPr>
          <w:p>
            <w:pPr>
              <w:pStyle w:val="7"/>
              <w:spacing w:before="40" w:line="222" w:lineRule="auto"/>
              <w:ind w:left="116"/>
              <w:jc w:val="center"/>
              <w:rPr>
                <w:rFonts w:hint="eastAsia" w:ascii="宋体" w:hAnsi="宋体" w:eastAsia="宋体" w:cs="宋体"/>
                <w:sz w:val="24"/>
                <w:szCs w:val="24"/>
              </w:rPr>
            </w:pPr>
            <w:r>
              <w:rPr>
                <w:rFonts w:hint="eastAsia" w:ascii="宋体" w:hAnsi="宋体" w:eastAsia="宋体" w:cs="宋体"/>
                <w:spacing w:val="-3"/>
                <w:sz w:val="24"/>
                <w:szCs w:val="24"/>
              </w:rPr>
              <w:t>油过滤器</w:t>
            </w:r>
          </w:p>
        </w:tc>
        <w:tc>
          <w:tcPr>
            <w:tcW w:w="1665" w:type="dxa"/>
            <w:gridSpan w:val="2"/>
            <w:vAlign w:val="top"/>
          </w:tcPr>
          <w:p>
            <w:pPr>
              <w:pStyle w:val="7"/>
              <w:spacing w:before="80" w:line="182" w:lineRule="auto"/>
              <w:ind w:left="109"/>
              <w:jc w:val="center"/>
              <w:rPr>
                <w:rFonts w:hint="eastAsia" w:ascii="宋体" w:hAnsi="宋体" w:eastAsia="宋体" w:cs="宋体"/>
                <w:sz w:val="24"/>
                <w:szCs w:val="24"/>
              </w:rPr>
            </w:pPr>
            <w:r>
              <w:rPr>
                <w:rFonts w:hint="eastAsia" w:ascii="宋体" w:hAnsi="宋体" w:eastAsia="宋体" w:cs="宋体"/>
                <w:spacing w:val="-1"/>
                <w:sz w:val="24"/>
                <w:szCs w:val="24"/>
              </w:rPr>
              <w:t>FLR01592</w:t>
            </w:r>
          </w:p>
        </w:tc>
        <w:tc>
          <w:tcPr>
            <w:tcW w:w="825" w:type="dxa"/>
            <w:vAlign w:val="top"/>
          </w:tcPr>
          <w:p>
            <w:pPr>
              <w:pStyle w:val="7"/>
              <w:spacing w:before="40" w:line="220" w:lineRule="auto"/>
              <w:ind w:left="114"/>
              <w:jc w:val="center"/>
              <w:rPr>
                <w:rFonts w:hint="eastAsia" w:ascii="宋体" w:hAnsi="宋体" w:eastAsia="宋体" w:cs="宋体"/>
                <w:sz w:val="24"/>
                <w:szCs w:val="24"/>
              </w:rPr>
            </w:pPr>
            <w:r>
              <w:rPr>
                <w:rFonts w:hint="eastAsia" w:ascii="宋体" w:hAnsi="宋体" w:eastAsia="宋体" w:cs="宋体"/>
                <w:spacing w:val="-3"/>
                <w:sz w:val="24"/>
                <w:szCs w:val="24"/>
              </w:rPr>
              <w:t>特灵</w:t>
            </w:r>
          </w:p>
        </w:tc>
        <w:tc>
          <w:tcPr>
            <w:tcW w:w="735" w:type="dxa"/>
            <w:vAlign w:val="top"/>
          </w:tcPr>
          <w:p>
            <w:pPr>
              <w:pStyle w:val="7"/>
              <w:spacing w:before="80" w:line="182" w:lineRule="auto"/>
              <w:ind w:left="133"/>
              <w:jc w:val="center"/>
              <w:rPr>
                <w:rFonts w:hint="eastAsia" w:ascii="宋体" w:hAnsi="宋体" w:eastAsia="宋体" w:cs="宋体"/>
                <w:sz w:val="24"/>
                <w:szCs w:val="24"/>
                <w:lang w:eastAsia="zh-CN"/>
              </w:rPr>
            </w:pPr>
            <w:r>
              <w:rPr>
                <w:rFonts w:hint="eastAsia" w:ascii="宋体" w:hAnsi="宋体" w:eastAsia="宋体" w:cs="宋体"/>
                <w:spacing w:val="-7"/>
                <w:sz w:val="24"/>
                <w:szCs w:val="24"/>
                <w:lang w:val="en-US" w:eastAsia="zh-CN"/>
              </w:rPr>
              <w:t>2</w:t>
            </w:r>
          </w:p>
        </w:tc>
        <w:tc>
          <w:tcPr>
            <w:tcW w:w="735" w:type="dxa"/>
            <w:vAlign w:val="top"/>
          </w:tcPr>
          <w:p>
            <w:pPr>
              <w:pStyle w:val="7"/>
              <w:spacing w:before="40" w:line="220" w:lineRule="auto"/>
              <w:ind w:left="115"/>
              <w:jc w:val="center"/>
              <w:rPr>
                <w:rFonts w:hint="eastAsia" w:ascii="宋体" w:hAnsi="宋体" w:eastAsia="宋体" w:cs="宋体"/>
                <w:sz w:val="24"/>
                <w:szCs w:val="24"/>
              </w:rPr>
            </w:pPr>
            <w:r>
              <w:rPr>
                <w:rFonts w:hint="eastAsia" w:ascii="宋体" w:hAnsi="宋体" w:eastAsia="宋体" w:cs="宋体"/>
                <w:sz w:val="24"/>
                <w:szCs w:val="24"/>
              </w:rPr>
              <w:t>个</w:t>
            </w:r>
          </w:p>
        </w:tc>
        <w:tc>
          <w:tcPr>
            <w:tcW w:w="1965" w:type="dxa"/>
            <w:vAlign w:val="top"/>
          </w:tcPr>
          <w:p>
            <w:pPr>
              <w:pStyle w:val="7"/>
              <w:spacing w:before="80" w:line="182" w:lineRule="auto"/>
              <w:ind w:left="133"/>
            </w:pPr>
          </w:p>
        </w:tc>
        <w:tc>
          <w:tcPr>
            <w:tcW w:w="1965" w:type="dxa"/>
            <w:vAlign w:val="top"/>
          </w:tcPr>
          <w:p>
            <w:pPr>
              <w:pStyle w:val="7"/>
              <w:spacing w:before="80" w:line="182" w:lineRule="auto"/>
              <w:ind w:left="134"/>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5" w:type="dxa"/>
            <w:tcBorders>
              <w:top w:val="single" w:color="auto" w:sz="4" w:space="0"/>
              <w:bottom w:val="single" w:color="auto"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26" w:type="dxa"/>
            <w:tcBorders>
              <w:top w:val="single" w:color="auto" w:sz="4" w:space="0"/>
              <w:bottom w:val="single" w:color="auto" w:sz="4" w:space="0"/>
            </w:tcBorders>
            <w:vAlign w:val="top"/>
          </w:tcPr>
          <w:p>
            <w:pPr>
              <w:pStyle w:val="7"/>
              <w:spacing w:before="39" w:line="219" w:lineRule="auto"/>
              <w:ind w:left="111"/>
              <w:jc w:val="center"/>
              <w:rPr>
                <w:rFonts w:hint="eastAsia" w:ascii="宋体" w:hAnsi="宋体" w:eastAsia="宋体" w:cs="宋体"/>
                <w:sz w:val="24"/>
                <w:szCs w:val="24"/>
              </w:rPr>
            </w:pPr>
            <w:r>
              <w:rPr>
                <w:rFonts w:hint="eastAsia" w:ascii="宋体" w:hAnsi="宋体" w:eastAsia="宋体" w:cs="宋体"/>
                <w:spacing w:val="-2"/>
                <w:sz w:val="24"/>
                <w:szCs w:val="24"/>
              </w:rPr>
              <w:t>干燥过滤器</w:t>
            </w:r>
          </w:p>
        </w:tc>
        <w:tc>
          <w:tcPr>
            <w:tcW w:w="1665" w:type="dxa"/>
            <w:gridSpan w:val="2"/>
            <w:vAlign w:val="top"/>
          </w:tcPr>
          <w:p>
            <w:pPr>
              <w:pStyle w:val="7"/>
              <w:spacing w:before="79" w:line="182" w:lineRule="auto"/>
              <w:ind w:left="108"/>
              <w:jc w:val="center"/>
              <w:rPr>
                <w:rFonts w:hint="eastAsia" w:ascii="宋体" w:hAnsi="宋体" w:eastAsia="宋体" w:cs="宋体"/>
                <w:sz w:val="24"/>
                <w:szCs w:val="24"/>
              </w:rPr>
            </w:pPr>
            <w:r>
              <w:rPr>
                <w:rFonts w:hint="eastAsia" w:ascii="宋体" w:hAnsi="宋体" w:eastAsia="宋体" w:cs="宋体"/>
                <w:spacing w:val="-1"/>
                <w:sz w:val="24"/>
                <w:szCs w:val="24"/>
              </w:rPr>
              <w:t>DHY1474</w:t>
            </w:r>
          </w:p>
        </w:tc>
        <w:tc>
          <w:tcPr>
            <w:tcW w:w="825" w:type="dxa"/>
            <w:vAlign w:val="top"/>
          </w:tcPr>
          <w:p>
            <w:pPr>
              <w:pStyle w:val="7"/>
              <w:spacing w:before="39" w:line="220" w:lineRule="auto"/>
              <w:ind w:left="114"/>
              <w:jc w:val="center"/>
              <w:rPr>
                <w:rFonts w:hint="eastAsia" w:ascii="宋体" w:hAnsi="宋体" w:eastAsia="宋体" w:cs="宋体"/>
                <w:sz w:val="24"/>
                <w:szCs w:val="24"/>
              </w:rPr>
            </w:pPr>
            <w:r>
              <w:rPr>
                <w:rFonts w:hint="eastAsia" w:ascii="宋体" w:hAnsi="宋体" w:eastAsia="宋体" w:cs="宋体"/>
                <w:spacing w:val="-3"/>
                <w:sz w:val="24"/>
                <w:szCs w:val="24"/>
              </w:rPr>
              <w:t>特灵</w:t>
            </w:r>
          </w:p>
        </w:tc>
        <w:tc>
          <w:tcPr>
            <w:tcW w:w="735" w:type="dxa"/>
            <w:vAlign w:val="top"/>
          </w:tcPr>
          <w:p>
            <w:pPr>
              <w:pStyle w:val="7"/>
              <w:spacing w:before="79" w:line="182" w:lineRule="auto"/>
              <w:ind w:left="133"/>
              <w:jc w:val="center"/>
              <w:rPr>
                <w:rFonts w:hint="eastAsia" w:ascii="宋体" w:hAnsi="宋体" w:eastAsia="宋体" w:cs="宋体"/>
                <w:sz w:val="24"/>
                <w:szCs w:val="24"/>
                <w:lang w:eastAsia="zh-CN"/>
              </w:rPr>
            </w:pPr>
            <w:r>
              <w:rPr>
                <w:rFonts w:hint="eastAsia" w:ascii="宋体" w:hAnsi="宋体" w:eastAsia="宋体" w:cs="宋体"/>
                <w:spacing w:val="-7"/>
                <w:sz w:val="24"/>
                <w:szCs w:val="24"/>
                <w:lang w:val="en-US" w:eastAsia="zh-CN"/>
              </w:rPr>
              <w:t>2</w:t>
            </w:r>
          </w:p>
        </w:tc>
        <w:tc>
          <w:tcPr>
            <w:tcW w:w="735" w:type="dxa"/>
            <w:vAlign w:val="top"/>
          </w:tcPr>
          <w:p>
            <w:pPr>
              <w:pStyle w:val="7"/>
              <w:spacing w:before="39" w:line="220" w:lineRule="auto"/>
              <w:ind w:left="115"/>
              <w:jc w:val="center"/>
              <w:rPr>
                <w:rFonts w:hint="eastAsia" w:ascii="宋体" w:hAnsi="宋体" w:eastAsia="宋体" w:cs="宋体"/>
                <w:sz w:val="24"/>
                <w:szCs w:val="24"/>
              </w:rPr>
            </w:pPr>
            <w:r>
              <w:rPr>
                <w:rFonts w:hint="eastAsia" w:ascii="宋体" w:hAnsi="宋体" w:eastAsia="宋体" w:cs="宋体"/>
                <w:sz w:val="24"/>
                <w:szCs w:val="24"/>
              </w:rPr>
              <w:t>个</w:t>
            </w:r>
          </w:p>
        </w:tc>
        <w:tc>
          <w:tcPr>
            <w:tcW w:w="1965" w:type="dxa"/>
            <w:vAlign w:val="top"/>
          </w:tcPr>
          <w:p>
            <w:pPr>
              <w:pStyle w:val="7"/>
              <w:spacing w:before="79" w:line="182" w:lineRule="auto"/>
              <w:ind w:left="133"/>
            </w:pPr>
          </w:p>
        </w:tc>
        <w:tc>
          <w:tcPr>
            <w:tcW w:w="1965" w:type="dxa"/>
            <w:vAlign w:val="top"/>
          </w:tcPr>
          <w:p>
            <w:pPr>
              <w:pStyle w:val="7"/>
              <w:spacing w:before="80" w:line="181" w:lineRule="auto"/>
              <w:ind w:left="11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5" w:type="dxa"/>
            <w:tcBorders>
              <w:top w:val="single" w:color="auto" w:sz="4" w:space="0"/>
              <w:bottom w:val="single" w:color="auto"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551" w:type="dxa"/>
            <w:gridSpan w:val="7"/>
            <w:tcBorders>
              <w:top w:val="single" w:color="auto" w:sz="4" w:space="0"/>
              <w:bottom w:val="single" w:color="auto" w:sz="4" w:space="0"/>
            </w:tcBorders>
            <w:vAlign w:val="top"/>
          </w:tcPr>
          <w:p>
            <w:pPr>
              <w:pStyle w:val="7"/>
              <w:spacing w:before="79" w:line="182" w:lineRule="auto"/>
              <w:ind w:left="133"/>
              <w:jc w:val="center"/>
              <w:rPr>
                <w:rFonts w:hint="eastAsia" w:ascii="宋体" w:hAnsi="宋体" w:eastAsia="宋体" w:cs="宋体"/>
                <w:spacing w:val="-4"/>
                <w:sz w:val="24"/>
                <w:szCs w:val="24"/>
              </w:rPr>
            </w:pPr>
            <w:r>
              <w:rPr>
                <w:rFonts w:hint="eastAsia" w:ascii="宋体" w:hAnsi="宋体" w:eastAsia="宋体" w:cs="宋体"/>
                <w:spacing w:val="-3"/>
                <w:sz w:val="24"/>
                <w:szCs w:val="24"/>
              </w:rPr>
              <w:t>维修人工费（含差旅费）</w:t>
            </w:r>
          </w:p>
        </w:tc>
        <w:tc>
          <w:tcPr>
            <w:tcW w:w="1965" w:type="dxa"/>
            <w:vAlign w:val="top"/>
          </w:tcPr>
          <w:p>
            <w:pPr>
              <w:pStyle w:val="7"/>
              <w:spacing w:before="80" w:line="181" w:lineRule="auto"/>
              <w:ind w:left="119"/>
              <w:rPr>
                <w:spacing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5" w:type="dxa"/>
            <w:tcBorders>
              <w:top w:val="single" w:color="auto"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295" w:type="dxa"/>
            <w:gridSpan w:val="2"/>
            <w:tcBorders>
              <w:top w:val="single" w:color="auto" w:sz="4" w:space="0"/>
            </w:tcBorders>
            <w:vAlign w:val="top"/>
          </w:tcPr>
          <w:p>
            <w:pPr>
              <w:pStyle w:val="7"/>
              <w:spacing w:before="79" w:line="182" w:lineRule="auto"/>
              <w:ind w:left="108"/>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累计投标总价（元）</w:t>
            </w:r>
          </w:p>
        </w:tc>
        <w:tc>
          <w:tcPr>
            <w:tcW w:w="1821" w:type="dxa"/>
            <w:gridSpan w:val="2"/>
            <w:vAlign w:val="top"/>
          </w:tcPr>
          <w:p>
            <w:pPr>
              <w:pStyle w:val="7"/>
              <w:spacing w:before="39" w:line="220" w:lineRule="auto"/>
              <w:ind w:left="114"/>
              <w:jc w:val="center"/>
              <w:rPr>
                <w:rFonts w:hint="eastAsia" w:ascii="宋体" w:hAnsi="宋体" w:eastAsia="宋体" w:cs="宋体"/>
                <w:spacing w:val="-3"/>
                <w:sz w:val="24"/>
                <w:szCs w:val="24"/>
              </w:rPr>
            </w:pPr>
          </w:p>
        </w:tc>
        <w:tc>
          <w:tcPr>
            <w:tcW w:w="1470" w:type="dxa"/>
            <w:gridSpan w:val="2"/>
            <w:vAlign w:val="top"/>
          </w:tcPr>
          <w:p>
            <w:pPr>
              <w:pStyle w:val="7"/>
              <w:spacing w:before="39" w:line="220" w:lineRule="auto"/>
              <w:ind w:left="11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大写</w:t>
            </w:r>
          </w:p>
        </w:tc>
        <w:tc>
          <w:tcPr>
            <w:tcW w:w="3930" w:type="dxa"/>
            <w:gridSpan w:val="2"/>
            <w:vAlign w:val="top"/>
          </w:tcPr>
          <w:p>
            <w:pPr>
              <w:pStyle w:val="7"/>
              <w:spacing w:before="80" w:line="181" w:lineRule="auto"/>
              <w:ind w:left="119"/>
              <w:rPr>
                <w:spacing w:val="-2"/>
              </w:rPr>
            </w:pPr>
          </w:p>
        </w:tc>
      </w:tr>
    </w:tbl>
    <w:p>
      <w:pPr>
        <w:numPr>
          <w:ilvl w:val="0"/>
          <w:numId w:val="0"/>
        </w:numPr>
        <w:spacing w:line="276" w:lineRule="auto"/>
        <w:jc w:val="left"/>
        <w:rPr>
          <w:rFonts w:hint="eastAsia" w:ascii="宋体" w:hAnsi="宋体" w:eastAsia="宋体" w:cs="宋体"/>
          <w:sz w:val="24"/>
          <w:szCs w:val="24"/>
          <w:lang w:val="en-US" w:eastAsia="zh-CN"/>
        </w:rPr>
      </w:pPr>
    </w:p>
    <w:p>
      <w:pPr>
        <w:numPr>
          <w:ilvl w:val="0"/>
          <w:numId w:val="0"/>
        </w:numPr>
        <w:spacing w:line="276" w:lineRule="auto"/>
        <w:jc w:val="left"/>
        <w:rPr>
          <w:rFonts w:hint="eastAsia" w:ascii="宋体" w:hAnsi="宋体" w:eastAsia="宋体" w:cs="宋体"/>
          <w:sz w:val="24"/>
          <w:szCs w:val="24"/>
          <w:lang w:val="en-US" w:eastAsia="zh-CN"/>
        </w:rPr>
      </w:pPr>
    </w:p>
    <w:p>
      <w:pPr>
        <w:numPr>
          <w:ilvl w:val="0"/>
          <w:numId w:val="0"/>
        </w:numPr>
        <w:rPr>
          <w:rFonts w:hint="eastAsia" w:ascii="宋体" w:hAnsi="宋体" w:eastAsia="宋体" w:cs="宋体"/>
          <w:b/>
          <w:bCs/>
          <w:spacing w:val="-11"/>
          <w:sz w:val="24"/>
          <w:szCs w:val="24"/>
          <w:lang w:val="en-US" w:eastAsia="zh-CN"/>
        </w:rPr>
      </w:pPr>
      <w:r>
        <w:rPr>
          <w:rFonts w:hint="eastAsia" w:ascii="宋体" w:hAnsi="宋体" w:eastAsia="宋体" w:cs="宋体"/>
          <w:b/>
          <w:bCs/>
          <w:spacing w:val="-11"/>
          <w:sz w:val="24"/>
          <w:szCs w:val="24"/>
          <w:lang w:val="en-US" w:eastAsia="zh-CN"/>
        </w:rPr>
        <w:t>3、维保要求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3.1、根据行业要求及主机规定要求情况，对系统机组施行预防性检测工作，并如实记录检测结果，并于本次维保结束后形成书面报告，综合评估机组使用情况。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3.2、投标人按各上述更换耗材明细表要求，保质保量一次性到场更换。凡因更换耗材引进的机组故障不能开启的，询价人有权拒付本次服务款项，造成机组损坏的，追诉中标人按实赔偿。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3.3、日常保养中因需更换零配件，无论询价人是否委托投标人购买，投标人必须协助询价人进行更换，并不收取任何费用。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3.4、维保期间服从询价人的现场管理，不得破坏询价人的现场设施文明、安全施工。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黑体" w:hAnsi="黑体" w:eastAsia="黑体" w:cs="黑体"/>
          <w:b/>
          <w:bCs/>
          <w:spacing w:val="-10"/>
          <w:sz w:val="24"/>
          <w:szCs w:val="24"/>
          <w:lang w:val="en-US" w:eastAsia="zh-CN"/>
        </w:rPr>
        <w:t xml:space="preserve">五、维保款支付 </w:t>
      </w:r>
      <w:r>
        <w:rPr>
          <w:rFonts w:hint="eastAsia" w:ascii="宋体" w:hAnsi="宋体" w:eastAsia="宋体" w:cs="宋体"/>
          <w:spacing w:val="-11"/>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10" w:firstLineChars="200"/>
        <w:jc w:val="left"/>
        <w:textAlignment w:val="auto"/>
        <w:rPr>
          <w:rFonts w:hint="default"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本次维保不预付维保款，维保结束提交正式维保评估报告，经询价人验收合格后，以正式维修发票，一次性支付维保款项。</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sz w:val="28"/>
          <w:szCs w:val="28"/>
          <w:lang w:val="en-US" w:eastAsia="zh-CN"/>
        </w:rPr>
      </w:pPr>
    </w:p>
    <w:p>
      <w:pPr>
        <w:spacing w:line="276" w:lineRule="auto"/>
        <w:jc w:val="left"/>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六、报价说明</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1、本次维保费用涵盖工程师维保时的人工费、车旅费、住宿费、设备维修保养费及耗材的运输费、保险费等所有费用，不包括设备故障所需更换配件费用。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2、耗材详见上表，维保过程中如耗材用量变化，按实增减。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3、维保过程中，询价人只给予现场及检测过程中需更换配件拆装配合。</w:t>
      </w:r>
    </w:p>
    <w:p>
      <w:pPr>
        <w:spacing w:line="276" w:lineRule="auto"/>
        <w:jc w:val="left"/>
        <w:rPr>
          <w:rFonts w:hint="eastAsia" w:ascii="黑体" w:hAnsi="黑体" w:eastAsia="黑体" w:cs="黑体"/>
          <w:b/>
          <w:bCs/>
          <w:spacing w:val="-10"/>
          <w:sz w:val="24"/>
          <w:szCs w:val="24"/>
          <w:lang w:val="en-US" w:eastAsia="zh-CN"/>
        </w:rPr>
      </w:pPr>
    </w:p>
    <w:p>
      <w:pPr>
        <w:spacing w:line="276" w:lineRule="auto"/>
        <w:jc w:val="left"/>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七、投标报价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1、技术标部分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⑴、企业资格</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⑵、同系列机型维保合同原件及联系人、联系方式；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pacing w:val="-11"/>
          <w:sz w:val="24"/>
          <w:szCs w:val="24"/>
          <w:lang w:val="en-US" w:eastAsia="zh-CN"/>
        </w:rPr>
      </w:pPr>
      <w:r>
        <w:rPr>
          <w:rFonts w:hint="eastAsia" w:ascii="宋体" w:hAnsi="宋体" w:eastAsia="宋体" w:cs="宋体"/>
          <w:spacing w:val="-11"/>
          <w:sz w:val="24"/>
          <w:szCs w:val="24"/>
          <w:lang w:val="en-US" w:eastAsia="zh-CN"/>
        </w:rPr>
        <w:t>2、商务标部分</w:t>
      </w:r>
      <w:r>
        <w:rPr>
          <w:rFonts w:hint="eastAsia" w:ascii="宋体" w:hAnsi="宋体" w:eastAsia="宋体" w:cs="宋体"/>
          <w:b/>
          <w:bCs/>
          <w:spacing w:val="-11"/>
          <w:sz w:val="24"/>
          <w:szCs w:val="24"/>
          <w:lang w:val="en-US" w:eastAsia="zh-CN"/>
        </w:rPr>
        <w:t>（请单独密封装订并加盖企业公章）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按上述清单表格进行报价。</w:t>
      </w:r>
    </w:p>
    <w:p>
      <w:pPr>
        <w:spacing w:line="276" w:lineRule="auto"/>
        <w:jc w:val="left"/>
        <w:rPr>
          <w:rFonts w:hint="eastAsia" w:ascii="黑体" w:hAnsi="黑体" w:eastAsia="黑体" w:cs="黑体"/>
          <w:b/>
          <w:bCs/>
          <w:spacing w:val="-10"/>
          <w:sz w:val="24"/>
          <w:szCs w:val="24"/>
          <w:lang w:val="en-US" w:eastAsia="zh-CN"/>
        </w:rPr>
      </w:pPr>
    </w:p>
    <w:p>
      <w:pPr>
        <w:spacing w:line="276" w:lineRule="auto"/>
        <w:jc w:val="left"/>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 xml:space="preserve">八、评标方式  </w:t>
      </w:r>
    </w:p>
    <w:p>
      <w:pPr>
        <w:keepNext w:val="0"/>
        <w:keepLines w:val="0"/>
        <w:pageBreakBefore w:val="0"/>
        <w:widowControl w:val="0"/>
        <w:kinsoku/>
        <w:wordWrap/>
        <w:overflowPunct/>
        <w:topLinePunct w:val="0"/>
        <w:autoSpaceDE/>
        <w:autoSpaceDN/>
        <w:bidi w:val="0"/>
        <w:adjustRightInd/>
        <w:snapToGrid/>
        <w:spacing w:line="400" w:lineRule="exact"/>
        <w:ind w:firstLine="410"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截止日期后询价人适时组织相关人员进行评审，技术标合格后再评定商务报价，拟定最低价入围。</w:t>
      </w:r>
    </w:p>
    <w:p>
      <w:pPr>
        <w:spacing w:line="276" w:lineRule="auto"/>
        <w:jc w:val="left"/>
        <w:rPr>
          <w:rFonts w:hint="eastAsia" w:ascii="黑体" w:hAnsi="黑体" w:eastAsia="黑体" w:cs="黑体"/>
          <w:b/>
          <w:bCs/>
          <w:spacing w:val="-10"/>
          <w:sz w:val="24"/>
          <w:szCs w:val="24"/>
          <w:lang w:val="en-US" w:eastAsia="zh-CN"/>
        </w:rPr>
      </w:pPr>
    </w:p>
    <w:p>
      <w:pPr>
        <w:spacing w:line="276" w:lineRule="auto"/>
        <w:jc w:val="left"/>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九、变更交易方式</w:t>
      </w:r>
    </w:p>
    <w:p>
      <w:pPr>
        <w:keepNext w:val="0"/>
        <w:keepLines w:val="0"/>
        <w:pageBreakBefore w:val="0"/>
        <w:widowControl w:val="0"/>
        <w:kinsoku/>
        <w:wordWrap/>
        <w:overflowPunct/>
        <w:topLinePunct w:val="0"/>
        <w:autoSpaceDE/>
        <w:autoSpaceDN/>
        <w:bidi w:val="0"/>
        <w:adjustRightInd/>
        <w:snapToGrid/>
        <w:spacing w:line="400" w:lineRule="exact"/>
        <w:ind w:firstLine="410"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1、到投标截止时间后提交投标文件的投标人不足三家，经审查实质性响应招标文件的投标人只有2家，或在评标过程中经评审实质性响应投标文件的投标人只有2家的情况，招标人可现场转为竞争性谈判。</w:t>
      </w:r>
    </w:p>
    <w:p>
      <w:pPr>
        <w:keepNext w:val="0"/>
        <w:keepLines w:val="0"/>
        <w:pageBreakBefore w:val="0"/>
        <w:widowControl w:val="0"/>
        <w:kinsoku/>
        <w:wordWrap/>
        <w:overflowPunct/>
        <w:topLinePunct w:val="0"/>
        <w:autoSpaceDE/>
        <w:autoSpaceDN/>
        <w:bidi w:val="0"/>
        <w:adjustRightInd/>
        <w:snapToGrid/>
        <w:spacing w:line="400" w:lineRule="exact"/>
        <w:ind w:firstLine="410"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2、到投标截止时间后提交投标文件的投标人不足三家，经审查实质性响应招标文件的投标人只有1家，或在评标过程中经评审实质性响应只有1家的情况，招标人可现场转为单一来源。</w:t>
      </w:r>
    </w:p>
    <w:p>
      <w:pPr>
        <w:keepNext w:val="0"/>
        <w:keepLines w:val="0"/>
        <w:pageBreakBefore w:val="0"/>
        <w:widowControl w:val="0"/>
        <w:kinsoku/>
        <w:wordWrap/>
        <w:overflowPunct/>
        <w:topLinePunct w:val="0"/>
        <w:autoSpaceDE/>
        <w:autoSpaceDN/>
        <w:bidi w:val="0"/>
        <w:adjustRightInd/>
        <w:snapToGrid/>
        <w:spacing w:line="400" w:lineRule="exact"/>
        <w:ind w:firstLine="410" w:firstLineChars="200"/>
        <w:jc w:val="left"/>
        <w:textAlignment w:val="auto"/>
        <w:rPr>
          <w:rFonts w:hint="eastAsia" w:ascii="宋体" w:hAnsi="宋体" w:eastAsia="宋体" w:cs="宋体"/>
          <w:spacing w:val="-1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10"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上述文件，请各企业认真领会，并将投标函于2025年07月20日前快递至天长市中医院总务科，如有疑问，书面传真0550-7021777，联系人刘荣义13955092279、金方有13855017722，要求密封投递报价函，报价函表面需注明联系人及联系号码，逾期不再接收并作废文件处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510" w:firstLineChars="2200"/>
        <w:jc w:val="left"/>
        <w:textAlignment w:val="auto"/>
        <w:rPr>
          <w:rFonts w:hint="eastAsia" w:ascii="宋体" w:hAnsi="宋体" w:eastAsia="宋体" w:cs="宋体"/>
          <w:spacing w:val="-1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510" w:firstLineChars="2200"/>
        <w:jc w:val="left"/>
        <w:textAlignment w:val="auto"/>
        <w:rPr>
          <w:rFonts w:hint="eastAsia" w:ascii="宋体" w:hAnsi="宋体" w:eastAsia="宋体" w:cs="宋体"/>
          <w:spacing w:val="-1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510" w:firstLineChars="2200"/>
        <w:jc w:val="left"/>
        <w:textAlignment w:val="auto"/>
        <w:rPr>
          <w:rFonts w:hint="default"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天长市中医院               2025-07-12</w:t>
      </w:r>
    </w:p>
    <w:sectPr>
      <w:type w:val="continuous"/>
      <w:pgSz w:w="11907" w:h="16839"/>
      <w:pgMar w:top="1389" w:right="1094" w:bottom="1134" w:left="1366" w:header="852" w:footer="1162" w:gutter="0"/>
      <w:cols w:equalWidth="0" w:num="1">
        <w:col w:w="10129"/>
      </w:cols>
      <w:rtlGutter w:val="0"/>
      <w:docGrid w:type="linesAndChars" w:linePitch="0" w:charSpace="-27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85" w:line="225" w:lineRule="auto"/>
      <w:ind w:left="3304"/>
      <w:rPr>
        <w:rFonts w:ascii="华文行楷" w:hAnsi="华文行楷" w:eastAsia="华文行楷" w:cs="华文行楷"/>
        <w:sz w:val="21"/>
        <w:szCs w:val="21"/>
      </w:rPr>
    </w:pPr>
    <w:r>
      <w:pict>
        <v:shape id="_x0000_s4097" o:spid="_x0000_s4097" o:spt="202" type="#_x0000_t202" style="position:absolute;left:0pt;margin-left:358.55pt;margin-top:8.25pt;height:15.25pt;width:127.7pt;z-index:251659264;mso-width-relative:page;mso-height-relative:page;" filled="f" stroked="f" coordsize="21600,21600">
          <v:path/>
          <v:fill on="f" focussize="0,0"/>
          <v:stroke on="f"/>
          <v:imagedata o:title=""/>
          <o:lock v:ext="edit" aspectratio="f"/>
          <v:textbox inset="0mm,0mm,0mm,0mm">
            <w:txbxContent>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17186"/>
    <w:multiLevelType w:val="singleLevel"/>
    <w:tmpl w:val="3791718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rawingGridHorizontalSpacing w:val="98"/>
  <w:drawingGridVerticalSpacing w:val="1"/>
  <w:displayHorizontalDrawingGridEvery w:val="2"/>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E116C7"/>
    <w:rsid w:val="1DB33130"/>
    <w:rsid w:val="1EE012AC"/>
    <w:rsid w:val="2D88795B"/>
    <w:rsid w:val="3A5169AB"/>
    <w:rsid w:val="445121DA"/>
    <w:rsid w:val="49EC47D8"/>
    <w:rsid w:val="5FB41C37"/>
    <w:rsid w:val="639E0346"/>
    <w:rsid w:val="752A5095"/>
    <w:rsid w:val="79CC3D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1912</Words>
  <Characters>2122</Characters>
  <TotalTime>16</TotalTime>
  <ScaleCrop>false</ScaleCrop>
  <LinksUpToDate>false</LinksUpToDate>
  <CharactersWithSpaces>2208</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2024-06-24T11:30:00Z</dcterms:created>
  <dc:creator>Administrator</dc:creator>
  <cp:lastModifiedBy>香香</cp:lastModifiedBy>
  <dcterms:modified xsi:type="dcterms:W3CDTF">2025-07-12T02:51:39Z</dcterms:modified>
  <dc:title>合同编号：DKWYHT-YZ1703       合同属性/类别： 空调主机维护保养合同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2025-07-04T08:21:07Z</vt:filetime>
  </property>
  <property fmtid="{D5CDD505-2E9C-101B-9397-08002B2CF9AE}" pid="4" name="KSOProductBuildVer">
    <vt:lpwstr>2052-12.1.0.16388</vt:lpwstr>
  </property>
  <property fmtid="{D5CDD505-2E9C-101B-9397-08002B2CF9AE}" pid="5" name="ICV">
    <vt:lpwstr>759775E3069149F0AF8B4256D82579D2_13</vt:lpwstr>
  </property>
  <property fmtid="{D5CDD505-2E9C-101B-9397-08002B2CF9AE}" pid="6" name="KSOTemplateDocerSaveRecord">
    <vt:lpwstr>eyJoZGlkIjoiMjliNmVmYTlhYmUyMWU4MDNjZjhlNDI2M2ViMjZkYjEiLCJ1c2VySWQiOiIxOTY5MjMxODUifQ==</vt:lpwstr>
  </property>
</Properties>
</file>