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2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9"/>
        <w:gridCol w:w="1874"/>
        <w:gridCol w:w="4079"/>
        <w:gridCol w:w="1732"/>
      </w:tblGrid>
      <w:tr w14:paraId="1AD02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609" w:type="dxa"/>
            <w:vAlign w:val="top"/>
          </w:tcPr>
          <w:p w14:paraId="42686768">
            <w:pPr>
              <w:pStyle w:val="4"/>
              <w:spacing w:before="121" w:line="220" w:lineRule="auto"/>
              <w:ind w:left="570"/>
            </w:pPr>
            <w:r>
              <w:rPr>
                <w:b/>
                <w:bCs/>
                <w:spacing w:val="-5"/>
              </w:rPr>
              <w:t>类别</w:t>
            </w:r>
          </w:p>
        </w:tc>
        <w:tc>
          <w:tcPr>
            <w:tcW w:w="1874" w:type="dxa"/>
            <w:vAlign w:val="top"/>
          </w:tcPr>
          <w:p w14:paraId="05B33FEC">
            <w:pPr>
              <w:pStyle w:val="4"/>
              <w:spacing w:before="121" w:line="220" w:lineRule="auto"/>
              <w:ind w:left="460"/>
            </w:pPr>
            <w:r>
              <w:rPr>
                <w:b/>
                <w:bCs/>
                <w:spacing w:val="-4"/>
              </w:rPr>
              <w:t>评分内容</w:t>
            </w:r>
          </w:p>
        </w:tc>
        <w:tc>
          <w:tcPr>
            <w:tcW w:w="4079" w:type="dxa"/>
            <w:vAlign w:val="top"/>
          </w:tcPr>
          <w:p w14:paraId="1F66516D">
            <w:pPr>
              <w:pStyle w:val="4"/>
              <w:spacing w:before="122" w:line="220" w:lineRule="auto"/>
              <w:ind w:left="1563"/>
            </w:pPr>
            <w:r>
              <w:rPr>
                <w:b/>
                <w:bCs/>
                <w:spacing w:val="-4"/>
              </w:rPr>
              <w:t>评分标准</w:t>
            </w:r>
          </w:p>
        </w:tc>
        <w:tc>
          <w:tcPr>
            <w:tcW w:w="1732" w:type="dxa"/>
            <w:vAlign w:val="top"/>
          </w:tcPr>
          <w:p w14:paraId="08584D50">
            <w:pPr>
              <w:pStyle w:val="4"/>
              <w:spacing w:before="121" w:line="220" w:lineRule="auto"/>
              <w:ind w:left="393"/>
            </w:pPr>
            <w:r>
              <w:rPr>
                <w:b/>
                <w:bCs/>
                <w:spacing w:val="-5"/>
              </w:rPr>
              <w:t>分值范围</w:t>
            </w:r>
          </w:p>
        </w:tc>
      </w:tr>
      <w:tr w14:paraId="752FF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8" w:hRule="atLeast"/>
        </w:trPr>
        <w:tc>
          <w:tcPr>
            <w:tcW w:w="1609" w:type="dxa"/>
            <w:vMerge w:val="restart"/>
            <w:vAlign w:val="top"/>
          </w:tcPr>
          <w:p w14:paraId="253FECFB">
            <w:pPr>
              <w:spacing w:line="242" w:lineRule="auto"/>
              <w:rPr>
                <w:rFonts w:ascii="Arial"/>
                <w:sz w:val="18"/>
                <w:szCs w:val="18"/>
              </w:rPr>
            </w:pPr>
          </w:p>
          <w:p w14:paraId="7C5B202A">
            <w:pPr>
              <w:spacing w:line="242" w:lineRule="auto"/>
              <w:rPr>
                <w:rFonts w:ascii="Arial"/>
                <w:sz w:val="18"/>
                <w:szCs w:val="18"/>
              </w:rPr>
            </w:pPr>
          </w:p>
          <w:p w14:paraId="506B6170">
            <w:pPr>
              <w:spacing w:line="242" w:lineRule="auto"/>
              <w:rPr>
                <w:rFonts w:ascii="Arial"/>
                <w:sz w:val="18"/>
                <w:szCs w:val="18"/>
              </w:rPr>
            </w:pPr>
          </w:p>
          <w:p w14:paraId="448FEA1E">
            <w:pPr>
              <w:spacing w:line="243" w:lineRule="auto"/>
              <w:rPr>
                <w:rFonts w:ascii="Arial"/>
                <w:sz w:val="18"/>
                <w:szCs w:val="18"/>
              </w:rPr>
            </w:pPr>
          </w:p>
          <w:p w14:paraId="55A2FA9D">
            <w:pPr>
              <w:spacing w:line="243" w:lineRule="auto"/>
              <w:rPr>
                <w:rFonts w:ascii="Arial"/>
                <w:sz w:val="18"/>
                <w:szCs w:val="18"/>
              </w:rPr>
            </w:pPr>
          </w:p>
          <w:p w14:paraId="2314A2A4">
            <w:pPr>
              <w:spacing w:line="243" w:lineRule="auto"/>
              <w:rPr>
                <w:rFonts w:ascii="Arial"/>
                <w:sz w:val="18"/>
                <w:szCs w:val="18"/>
              </w:rPr>
            </w:pPr>
          </w:p>
          <w:p w14:paraId="7D00A946">
            <w:pPr>
              <w:spacing w:line="243" w:lineRule="auto"/>
              <w:rPr>
                <w:rFonts w:ascii="Arial"/>
                <w:sz w:val="18"/>
                <w:szCs w:val="18"/>
              </w:rPr>
            </w:pPr>
          </w:p>
          <w:p w14:paraId="57E57974">
            <w:pPr>
              <w:pStyle w:val="4"/>
              <w:spacing w:before="78" w:line="220" w:lineRule="auto"/>
              <w:ind w:left="211"/>
              <w:rPr>
                <w:sz w:val="21"/>
                <w:szCs w:val="21"/>
              </w:rPr>
            </w:pPr>
            <w:r>
              <w:rPr>
                <w:spacing w:val="-2"/>
                <w:sz w:val="21"/>
                <w:szCs w:val="21"/>
              </w:rPr>
              <w:t>技术资信分</w:t>
            </w:r>
          </w:p>
          <w:p w14:paraId="380D001B">
            <w:pPr>
              <w:spacing w:before="76" w:line="5" w:lineRule="exact"/>
              <w:ind w:left="287"/>
              <w:rPr>
                <w:sz w:val="18"/>
                <w:szCs w:val="18"/>
              </w:rPr>
            </w:pPr>
            <w:r>
              <w:rPr>
                <w:sz w:val="18"/>
                <w:szCs w:val="18"/>
              </w:rPr>
              <w:drawing>
                <wp:inline distT="0" distB="0" distL="0" distR="0">
                  <wp:extent cx="7620" cy="2540"/>
                  <wp:effectExtent l="0" t="0" r="0" b="0"/>
                  <wp:docPr id="592" name="IM 592"/>
                  <wp:cNvGraphicFramePr/>
                  <a:graphic xmlns:a="http://schemas.openxmlformats.org/drawingml/2006/main">
                    <a:graphicData uri="http://schemas.openxmlformats.org/drawingml/2006/picture">
                      <pic:pic xmlns:pic="http://schemas.openxmlformats.org/drawingml/2006/picture">
                        <pic:nvPicPr>
                          <pic:cNvPr id="592" name="IM 592"/>
                          <pic:cNvPicPr/>
                        </pic:nvPicPr>
                        <pic:blipFill>
                          <a:blip r:embed="rId6"/>
                          <a:stretch>
                            <a:fillRect/>
                          </a:stretch>
                        </pic:blipFill>
                        <pic:spPr>
                          <a:xfrm>
                            <a:off x="0" y="0"/>
                            <a:ext cx="7620" cy="3048"/>
                          </a:xfrm>
                          <a:prstGeom prst="rect">
                            <a:avLst/>
                          </a:prstGeom>
                        </pic:spPr>
                      </pic:pic>
                    </a:graphicData>
                  </a:graphic>
                </wp:inline>
              </w:drawing>
            </w:r>
          </w:p>
          <w:p w14:paraId="63BF73CA">
            <w:pPr>
              <w:pStyle w:val="4"/>
              <w:ind w:left="287"/>
              <w:rPr>
                <w:sz w:val="21"/>
                <w:szCs w:val="21"/>
              </w:rPr>
            </w:pPr>
            <w:r>
              <w:rPr>
                <w:position w:val="-6"/>
                <w:sz w:val="21"/>
                <w:szCs w:val="21"/>
              </w:rPr>
              <w:drawing>
                <wp:inline distT="0" distB="0" distL="0" distR="0">
                  <wp:extent cx="2540" cy="243205"/>
                  <wp:effectExtent l="0" t="0" r="16510" b="4445"/>
                  <wp:docPr id="594" name="IM 594"/>
                  <wp:cNvGraphicFramePr/>
                  <a:graphic xmlns:a="http://schemas.openxmlformats.org/drawingml/2006/main">
                    <a:graphicData uri="http://schemas.openxmlformats.org/drawingml/2006/picture">
                      <pic:pic xmlns:pic="http://schemas.openxmlformats.org/drawingml/2006/picture">
                        <pic:nvPicPr>
                          <pic:cNvPr id="594" name="IM 594"/>
                          <pic:cNvPicPr/>
                        </pic:nvPicPr>
                        <pic:blipFill>
                          <a:blip r:embed="rId7"/>
                          <a:stretch>
                            <a:fillRect/>
                          </a:stretch>
                        </pic:blipFill>
                        <pic:spPr>
                          <a:xfrm>
                            <a:off x="0" y="0"/>
                            <a:ext cx="3048" cy="243839"/>
                          </a:xfrm>
                          <a:prstGeom prst="rect">
                            <a:avLst/>
                          </a:prstGeom>
                        </pic:spPr>
                      </pic:pic>
                    </a:graphicData>
                  </a:graphic>
                </wp:inline>
              </w:drawing>
            </w:r>
            <w:r>
              <w:rPr>
                <w:spacing w:val="-13"/>
                <w:sz w:val="21"/>
                <w:szCs w:val="21"/>
              </w:rPr>
              <w:t>（</w:t>
            </w:r>
            <w:r>
              <w:rPr>
                <w:spacing w:val="-86"/>
                <w:sz w:val="21"/>
                <w:szCs w:val="21"/>
              </w:rPr>
              <w:t xml:space="preserve"> </w:t>
            </w:r>
            <w:r>
              <w:rPr>
                <w:spacing w:val="-105"/>
                <w:sz w:val="21"/>
                <w:szCs w:val="21"/>
                <w:u w:val="single" w:color="auto"/>
              </w:rPr>
              <w:t xml:space="preserve"> </w:t>
            </w:r>
            <w:r>
              <w:rPr>
                <w:spacing w:val="-13"/>
                <w:sz w:val="21"/>
                <w:szCs w:val="21"/>
                <w:u w:val="single" w:color="auto"/>
              </w:rPr>
              <w:t>70</w:t>
            </w:r>
            <w:r>
              <w:rPr>
                <w:spacing w:val="-47"/>
                <w:sz w:val="21"/>
                <w:szCs w:val="21"/>
                <w:u w:val="single" w:color="auto"/>
              </w:rPr>
              <w:t xml:space="preserve"> </w:t>
            </w:r>
            <w:r>
              <w:rPr>
                <w:spacing w:val="-13"/>
                <w:sz w:val="21"/>
                <w:szCs w:val="21"/>
              </w:rPr>
              <w:t>分）</w:t>
            </w:r>
          </w:p>
        </w:tc>
        <w:tc>
          <w:tcPr>
            <w:tcW w:w="1874" w:type="dxa"/>
            <w:vAlign w:val="top"/>
          </w:tcPr>
          <w:p w14:paraId="153DFD62">
            <w:pPr>
              <w:pStyle w:val="4"/>
              <w:spacing w:before="118" w:line="220" w:lineRule="auto"/>
              <w:ind w:left="465"/>
              <w:rPr>
                <w:sz w:val="21"/>
                <w:szCs w:val="21"/>
              </w:rPr>
            </w:pPr>
            <w:r>
              <w:rPr>
                <w:spacing w:val="-2"/>
                <w:sz w:val="21"/>
                <w:szCs w:val="21"/>
              </w:rPr>
              <w:t>技术参数</w:t>
            </w:r>
          </w:p>
        </w:tc>
        <w:tc>
          <w:tcPr>
            <w:tcW w:w="4079" w:type="dxa"/>
            <w:vAlign w:val="top"/>
          </w:tcPr>
          <w:p w14:paraId="02DD644E">
            <w:pPr>
              <w:pStyle w:val="4"/>
              <w:spacing w:before="118" w:line="367" w:lineRule="auto"/>
              <w:ind w:left="115" w:right="128" w:hanging="1"/>
              <w:jc w:val="both"/>
              <w:rPr>
                <w:sz w:val="21"/>
                <w:szCs w:val="21"/>
              </w:rPr>
            </w:pPr>
            <w:r>
              <w:rPr>
                <w:spacing w:val="-1"/>
                <w:sz w:val="21"/>
                <w:szCs w:val="21"/>
              </w:rPr>
              <w:t>根据投标产品技术参数及主要配置是否总体上优于或满足招标文件技术参</w:t>
            </w:r>
            <w:r>
              <w:rPr>
                <w:spacing w:val="-3"/>
                <w:sz w:val="21"/>
                <w:szCs w:val="21"/>
              </w:rPr>
              <w:t>数进行评分，满分30分。</w:t>
            </w:r>
          </w:p>
          <w:p w14:paraId="4980B0E8">
            <w:pPr>
              <w:pStyle w:val="4"/>
              <w:spacing w:before="2" w:line="335" w:lineRule="auto"/>
              <w:ind w:left="116" w:right="115"/>
              <w:jc w:val="both"/>
              <w:rPr>
                <w:b/>
                <w:bCs/>
                <w:spacing w:val="-3"/>
                <w:sz w:val="21"/>
                <w:szCs w:val="21"/>
              </w:rPr>
            </w:pPr>
            <w:r>
              <w:rPr>
                <w:b/>
                <w:bCs/>
                <w:spacing w:val="-3"/>
                <w:sz w:val="21"/>
                <w:szCs w:val="21"/>
              </w:rPr>
              <w:t>备注</w:t>
            </w:r>
            <w:r>
              <w:rPr>
                <w:rFonts w:hint="eastAsia"/>
                <w:b/>
                <w:bCs/>
                <w:spacing w:val="-3"/>
                <w:sz w:val="21"/>
                <w:szCs w:val="21"/>
                <w:lang w:eastAsia="zh-CN"/>
              </w:rPr>
              <w:t>：</w:t>
            </w:r>
          </w:p>
          <w:p w14:paraId="5F8BCCCA">
            <w:pPr>
              <w:pStyle w:val="4"/>
              <w:spacing w:before="124" w:line="367" w:lineRule="auto"/>
              <w:ind w:right="115"/>
              <w:jc w:val="both"/>
              <w:rPr>
                <w:sz w:val="21"/>
                <w:szCs w:val="21"/>
              </w:rPr>
            </w:pPr>
            <w:r>
              <w:rPr>
                <w:rFonts w:hint="eastAsia"/>
                <w:b/>
                <w:bCs/>
                <w:spacing w:val="-3"/>
                <w:sz w:val="21"/>
                <w:szCs w:val="21"/>
                <w:lang w:val="en-US" w:eastAsia="zh-CN"/>
              </w:rPr>
              <w:t>1.</w:t>
            </w:r>
            <w:r>
              <w:rPr>
                <w:b/>
                <w:bCs/>
                <w:spacing w:val="-3"/>
                <w:sz w:val="21"/>
                <w:szCs w:val="21"/>
              </w:rPr>
              <w:t>供应商提供的证明文件佐证材料技术</w:t>
            </w:r>
            <w:r>
              <w:rPr>
                <w:b/>
                <w:bCs/>
                <w:spacing w:val="-6"/>
                <w:sz w:val="21"/>
                <w:szCs w:val="21"/>
              </w:rPr>
              <w:t>参数佐证项</w:t>
            </w:r>
            <w:r>
              <w:rPr>
                <w:spacing w:val="-61"/>
                <w:sz w:val="21"/>
                <w:szCs w:val="21"/>
              </w:rPr>
              <w:t xml:space="preserve"> </w:t>
            </w:r>
            <w:r>
              <w:rPr>
                <w:b/>
                <w:bCs/>
                <w:spacing w:val="-6"/>
                <w:sz w:val="21"/>
                <w:szCs w:val="21"/>
              </w:rPr>
              <w:t>(复印件或扫描件)，建议</w:t>
            </w:r>
            <w:r>
              <w:rPr>
                <w:b/>
                <w:bCs/>
                <w:spacing w:val="-4"/>
                <w:sz w:val="21"/>
                <w:szCs w:val="21"/>
              </w:rPr>
              <w:t>用下划线或其他方式进行标注，并写</w:t>
            </w:r>
            <w:r>
              <w:rPr>
                <w:b/>
                <w:bCs/>
                <w:spacing w:val="-5"/>
                <w:sz w:val="21"/>
                <w:szCs w:val="21"/>
              </w:rPr>
              <w:t>上对应技术参数序号。</w:t>
            </w:r>
          </w:p>
          <w:p w14:paraId="1D5D46EB">
            <w:pPr>
              <w:pStyle w:val="4"/>
              <w:spacing w:before="1" w:line="366" w:lineRule="auto"/>
              <w:ind w:right="115"/>
              <w:rPr>
                <w:sz w:val="21"/>
                <w:szCs w:val="21"/>
              </w:rPr>
            </w:pPr>
            <w:r>
              <w:rPr>
                <w:b/>
                <w:bCs/>
                <w:spacing w:val="-3"/>
                <w:sz w:val="21"/>
                <w:szCs w:val="21"/>
              </w:rPr>
              <w:t>2.如</w:t>
            </w:r>
            <w:r>
              <w:rPr>
                <w:rFonts w:hint="eastAsia"/>
                <w:b/>
                <w:bCs/>
                <w:spacing w:val="-3"/>
                <w:sz w:val="21"/>
                <w:szCs w:val="21"/>
                <w:lang w:val="en-US" w:eastAsia="zh-CN"/>
              </w:rPr>
              <w:t>佐证材料</w:t>
            </w:r>
            <w:r>
              <w:rPr>
                <w:b/>
                <w:bCs/>
                <w:spacing w:val="-3"/>
                <w:sz w:val="21"/>
                <w:szCs w:val="21"/>
              </w:rPr>
              <w:t>出现对</w:t>
            </w:r>
            <w:r>
              <w:rPr>
                <w:rFonts w:hint="eastAsia"/>
                <w:b/>
                <w:bCs/>
                <w:spacing w:val="-3"/>
                <w:sz w:val="21"/>
                <w:szCs w:val="21"/>
                <w:lang w:val="en-US" w:eastAsia="zh-CN"/>
              </w:rPr>
              <w:t>同一</w:t>
            </w:r>
            <w:r>
              <w:rPr>
                <w:b/>
                <w:bCs/>
                <w:spacing w:val="-3"/>
                <w:sz w:val="21"/>
                <w:szCs w:val="21"/>
              </w:rPr>
              <w:t>技术指标的说明不一致，均视为无效技术支持资料；</w:t>
            </w:r>
          </w:p>
          <w:p w14:paraId="45C6427D">
            <w:pPr>
              <w:pStyle w:val="4"/>
              <w:spacing w:before="5" w:line="347" w:lineRule="auto"/>
              <w:ind w:left="113" w:right="115" w:firstLine="5"/>
              <w:rPr>
                <w:sz w:val="21"/>
                <w:szCs w:val="21"/>
              </w:rPr>
            </w:pPr>
            <w:r>
              <w:rPr>
                <w:b/>
                <w:bCs/>
                <w:spacing w:val="-3"/>
                <w:sz w:val="21"/>
                <w:szCs w:val="21"/>
              </w:rPr>
              <w:t>3.技术支持资料是指（以下材料的一种或多种</w:t>
            </w:r>
            <w:r>
              <w:rPr>
                <w:b/>
                <w:bCs/>
                <w:spacing w:val="2"/>
                <w:sz w:val="21"/>
                <w:szCs w:val="21"/>
              </w:rPr>
              <w:t>）：</w:t>
            </w:r>
            <w:r>
              <w:rPr>
                <w:b/>
                <w:bCs/>
                <w:spacing w:val="-3"/>
                <w:sz w:val="21"/>
                <w:szCs w:val="21"/>
              </w:rPr>
              <w:t>①法定检测机构出具的完整的产品注册检测报告；②医疗器械产品注册证；③产品说明书；④</w:t>
            </w:r>
            <w:r>
              <w:rPr>
                <w:rFonts w:hint="eastAsia"/>
                <w:b/>
                <w:bCs/>
                <w:spacing w:val="-3"/>
                <w:sz w:val="21"/>
                <w:szCs w:val="21"/>
                <w:lang w:val="en-US" w:eastAsia="zh-CN"/>
              </w:rPr>
              <w:t>招标法</w:t>
            </w:r>
            <w:r>
              <w:rPr>
                <w:b/>
                <w:bCs/>
                <w:spacing w:val="-3"/>
                <w:sz w:val="21"/>
                <w:szCs w:val="21"/>
              </w:rPr>
              <w:t>认可的其它资料。</w:t>
            </w:r>
          </w:p>
        </w:tc>
        <w:tc>
          <w:tcPr>
            <w:tcW w:w="1732" w:type="dxa"/>
            <w:vAlign w:val="top"/>
          </w:tcPr>
          <w:p w14:paraId="17EFFD5F">
            <w:pPr>
              <w:pStyle w:val="4"/>
              <w:spacing w:before="118" w:line="220" w:lineRule="auto"/>
              <w:ind w:left="514"/>
              <w:rPr>
                <w:sz w:val="21"/>
                <w:szCs w:val="21"/>
              </w:rPr>
            </w:pPr>
            <w:r>
              <w:rPr>
                <w:spacing w:val="-3"/>
                <w:sz w:val="21"/>
                <w:szCs w:val="21"/>
              </w:rPr>
              <w:t>0-30分</w:t>
            </w:r>
          </w:p>
        </w:tc>
      </w:tr>
      <w:tr w14:paraId="1F95F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7" w:hRule="atLeast"/>
        </w:trPr>
        <w:tc>
          <w:tcPr>
            <w:tcW w:w="1609" w:type="dxa"/>
            <w:vMerge w:val="continue"/>
            <w:tcBorders>
              <w:bottom w:val="nil"/>
            </w:tcBorders>
            <w:vAlign w:val="top"/>
          </w:tcPr>
          <w:p w14:paraId="2504F162">
            <w:pPr>
              <w:rPr>
                <w:rFonts w:ascii="Arial"/>
                <w:sz w:val="18"/>
                <w:szCs w:val="18"/>
              </w:rPr>
            </w:pPr>
          </w:p>
        </w:tc>
        <w:tc>
          <w:tcPr>
            <w:tcW w:w="1874" w:type="dxa"/>
            <w:vAlign w:val="top"/>
          </w:tcPr>
          <w:p w14:paraId="7D2550D9">
            <w:pPr>
              <w:pStyle w:val="4"/>
              <w:spacing w:before="119" w:line="370" w:lineRule="auto"/>
              <w:ind w:left="464" w:right="322" w:hanging="348"/>
              <w:rPr>
                <w:sz w:val="21"/>
                <w:szCs w:val="21"/>
              </w:rPr>
            </w:pPr>
            <w:r>
              <w:rPr>
                <w:spacing w:val="-2"/>
                <w:sz w:val="21"/>
                <w:szCs w:val="21"/>
              </w:rPr>
              <w:t>供货安装（调试）方案</w:t>
            </w:r>
          </w:p>
        </w:tc>
        <w:tc>
          <w:tcPr>
            <w:tcW w:w="4079" w:type="dxa"/>
            <w:vAlign w:val="top"/>
          </w:tcPr>
          <w:p w14:paraId="4ADA12B6">
            <w:pPr>
              <w:pStyle w:val="4"/>
              <w:spacing w:before="119" w:line="367" w:lineRule="auto"/>
              <w:ind w:left="118" w:right="38" w:hanging="4"/>
              <w:rPr>
                <w:sz w:val="21"/>
                <w:szCs w:val="21"/>
              </w:rPr>
            </w:pPr>
            <w:r>
              <w:rPr>
                <w:spacing w:val="-10"/>
                <w:sz w:val="21"/>
                <w:szCs w:val="21"/>
              </w:rPr>
              <w:t>根据投标人的供货安装（调试）方案，</w:t>
            </w:r>
            <w:r>
              <w:rPr>
                <w:sz w:val="21"/>
                <w:szCs w:val="21"/>
              </w:rPr>
              <w:t>内容包括但不限于设备运输、供货、</w:t>
            </w:r>
            <w:r>
              <w:rPr>
                <w:spacing w:val="-6"/>
                <w:sz w:val="21"/>
                <w:szCs w:val="21"/>
              </w:rPr>
              <w:t>安装、调试等进行评审：</w:t>
            </w:r>
          </w:p>
          <w:p w14:paraId="32BAFA91">
            <w:pPr>
              <w:pStyle w:val="4"/>
              <w:spacing w:before="2" w:line="366" w:lineRule="auto"/>
              <w:ind w:left="114" w:right="37" w:firstLine="6"/>
              <w:rPr>
                <w:sz w:val="21"/>
                <w:szCs w:val="21"/>
              </w:rPr>
            </w:pPr>
            <w:r>
              <w:rPr>
                <w:spacing w:val="-7"/>
                <w:sz w:val="21"/>
                <w:szCs w:val="21"/>
              </w:rPr>
              <w:t>（1）供货安装（调试）方案</w:t>
            </w:r>
            <w:r>
              <w:rPr>
                <w:rFonts w:hint="eastAsia"/>
                <w:spacing w:val="-7"/>
                <w:sz w:val="21"/>
                <w:szCs w:val="21"/>
                <w:lang w:val="en-US" w:eastAsia="zh-CN"/>
              </w:rPr>
              <w:t>及时效</w:t>
            </w:r>
            <w:r>
              <w:rPr>
                <w:spacing w:val="-7"/>
                <w:sz w:val="21"/>
                <w:szCs w:val="21"/>
              </w:rPr>
              <w:t>符合实际</w:t>
            </w:r>
            <w:r>
              <w:rPr>
                <w:spacing w:val="-16"/>
                <w:sz w:val="21"/>
                <w:szCs w:val="21"/>
              </w:rPr>
              <w:t>要求，内容描 述详细完整、切实可行，</w:t>
            </w:r>
            <w:r>
              <w:rPr>
                <w:spacing w:val="-4"/>
                <w:sz w:val="21"/>
                <w:szCs w:val="21"/>
              </w:rPr>
              <w:t>针对性强的，得</w:t>
            </w:r>
            <w:r>
              <w:rPr>
                <w:rFonts w:hint="eastAsia"/>
                <w:spacing w:val="-4"/>
                <w:sz w:val="21"/>
                <w:szCs w:val="21"/>
                <w:lang w:val="en-US" w:eastAsia="zh-CN"/>
              </w:rPr>
              <w:t>5</w:t>
            </w:r>
            <w:r>
              <w:rPr>
                <w:spacing w:val="-4"/>
                <w:sz w:val="21"/>
                <w:szCs w:val="21"/>
              </w:rPr>
              <w:t>分；</w:t>
            </w:r>
          </w:p>
          <w:p w14:paraId="369AF997">
            <w:pPr>
              <w:pStyle w:val="4"/>
              <w:spacing w:before="1" w:line="367" w:lineRule="auto"/>
              <w:ind w:left="115" w:right="115" w:firstLine="5"/>
              <w:rPr>
                <w:sz w:val="21"/>
                <w:szCs w:val="21"/>
              </w:rPr>
            </w:pPr>
            <w:r>
              <w:rPr>
                <w:spacing w:val="-8"/>
                <w:sz w:val="21"/>
                <w:szCs w:val="21"/>
              </w:rPr>
              <w:t>（2）供货安装（调试）方案符合实际</w:t>
            </w:r>
            <w:r>
              <w:rPr>
                <w:spacing w:val="-1"/>
                <w:sz w:val="21"/>
                <w:szCs w:val="21"/>
              </w:rPr>
              <w:t>要求，内容不完整，针对性有待进一</w:t>
            </w:r>
            <w:r>
              <w:rPr>
                <w:spacing w:val="-5"/>
                <w:sz w:val="21"/>
                <w:szCs w:val="21"/>
              </w:rPr>
              <w:t>步提高的，得3分；</w:t>
            </w:r>
          </w:p>
          <w:p w14:paraId="61C053DF">
            <w:pPr>
              <w:pStyle w:val="4"/>
              <w:spacing w:before="1" w:line="366" w:lineRule="auto"/>
              <w:ind w:left="115" w:right="116" w:firstLine="5"/>
              <w:rPr>
                <w:sz w:val="21"/>
                <w:szCs w:val="21"/>
              </w:rPr>
            </w:pPr>
            <w:r>
              <w:rPr>
                <w:spacing w:val="-8"/>
                <w:sz w:val="21"/>
                <w:szCs w:val="21"/>
              </w:rPr>
              <w:t>（3）供货安装（调试）方案内容不完</w:t>
            </w:r>
            <w:r>
              <w:rPr>
                <w:spacing w:val="-3"/>
                <w:sz w:val="21"/>
                <w:szCs w:val="21"/>
              </w:rPr>
              <w:t>整，无针对性及可行性的，得1分；</w:t>
            </w:r>
          </w:p>
          <w:p w14:paraId="03176490">
            <w:pPr>
              <w:pStyle w:val="4"/>
              <w:spacing w:before="1" w:line="218" w:lineRule="auto"/>
              <w:ind w:left="121"/>
              <w:rPr>
                <w:sz w:val="21"/>
                <w:szCs w:val="21"/>
              </w:rPr>
            </w:pPr>
            <w:r>
              <w:rPr>
                <w:spacing w:val="-4"/>
                <w:sz w:val="21"/>
                <w:szCs w:val="21"/>
              </w:rPr>
              <w:t>（4）未提供相关内容的不得分。</w:t>
            </w:r>
          </w:p>
        </w:tc>
        <w:tc>
          <w:tcPr>
            <w:tcW w:w="1732" w:type="dxa"/>
            <w:vAlign w:val="top"/>
          </w:tcPr>
          <w:p w14:paraId="34C44393">
            <w:pPr>
              <w:spacing w:line="258" w:lineRule="auto"/>
              <w:rPr>
                <w:rFonts w:ascii="Arial"/>
                <w:sz w:val="18"/>
                <w:szCs w:val="18"/>
              </w:rPr>
            </w:pPr>
          </w:p>
          <w:p w14:paraId="14CC6C13">
            <w:pPr>
              <w:spacing w:line="258" w:lineRule="auto"/>
              <w:rPr>
                <w:rFonts w:ascii="Arial"/>
                <w:sz w:val="18"/>
                <w:szCs w:val="18"/>
              </w:rPr>
            </w:pPr>
          </w:p>
          <w:p w14:paraId="66715D44">
            <w:pPr>
              <w:pStyle w:val="4"/>
              <w:spacing w:before="78" w:line="220" w:lineRule="auto"/>
              <w:ind w:left="574"/>
              <w:rPr>
                <w:sz w:val="21"/>
                <w:szCs w:val="21"/>
              </w:rPr>
            </w:pPr>
            <w:r>
              <w:rPr>
                <w:spacing w:val="-3"/>
                <w:sz w:val="21"/>
                <w:szCs w:val="21"/>
              </w:rPr>
              <w:t>0-</w:t>
            </w:r>
            <w:r>
              <w:rPr>
                <w:rFonts w:hint="eastAsia"/>
                <w:spacing w:val="-3"/>
                <w:sz w:val="21"/>
                <w:szCs w:val="21"/>
                <w:lang w:val="en-US" w:eastAsia="zh-CN"/>
              </w:rPr>
              <w:t>5</w:t>
            </w:r>
            <w:r>
              <w:rPr>
                <w:spacing w:val="-3"/>
                <w:sz w:val="21"/>
                <w:szCs w:val="21"/>
              </w:rPr>
              <w:t>分</w:t>
            </w:r>
          </w:p>
        </w:tc>
      </w:tr>
      <w:tr w14:paraId="0A43E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3" w:hRule="atLeast"/>
        </w:trPr>
        <w:tc>
          <w:tcPr>
            <w:tcW w:w="1609" w:type="dxa"/>
            <w:tcBorders>
              <w:top w:val="nil"/>
              <w:bottom w:val="nil"/>
            </w:tcBorders>
            <w:vAlign w:val="top"/>
          </w:tcPr>
          <w:p w14:paraId="3B5C7649">
            <w:pPr>
              <w:rPr>
                <w:rFonts w:ascii="Arial"/>
                <w:sz w:val="18"/>
                <w:szCs w:val="18"/>
              </w:rPr>
            </w:pPr>
          </w:p>
        </w:tc>
        <w:tc>
          <w:tcPr>
            <w:tcW w:w="1874" w:type="dxa"/>
            <w:vMerge w:val="restart"/>
            <w:vAlign w:val="top"/>
          </w:tcPr>
          <w:p w14:paraId="4CEA9733">
            <w:pPr>
              <w:pStyle w:val="4"/>
              <w:spacing w:before="119" w:line="370" w:lineRule="auto"/>
              <w:ind w:left="464" w:right="322" w:hanging="348"/>
              <w:rPr>
                <w:spacing w:val="-2"/>
                <w:sz w:val="21"/>
                <w:szCs w:val="21"/>
              </w:rPr>
            </w:pPr>
            <w:r>
              <w:rPr>
                <w:spacing w:val="-2"/>
                <w:sz w:val="21"/>
                <w:szCs w:val="21"/>
              </w:rPr>
              <w:t>售后服务与维</w:t>
            </w:r>
            <w:r>
              <w:rPr>
                <w:spacing w:val="-3"/>
                <w:sz w:val="21"/>
                <w:szCs w:val="21"/>
              </w:rPr>
              <w:t>保方案</w:t>
            </w:r>
          </w:p>
        </w:tc>
        <w:tc>
          <w:tcPr>
            <w:tcW w:w="4079" w:type="dxa"/>
            <w:vMerge w:val="restart"/>
            <w:vAlign w:val="top"/>
          </w:tcPr>
          <w:p w14:paraId="10F3636F">
            <w:pPr>
              <w:pStyle w:val="4"/>
              <w:spacing w:before="122" w:line="367" w:lineRule="auto"/>
              <w:ind w:left="113" w:right="128"/>
              <w:rPr>
                <w:sz w:val="21"/>
                <w:szCs w:val="21"/>
              </w:rPr>
            </w:pPr>
            <w:r>
              <w:rPr>
                <w:spacing w:val="-1"/>
                <w:sz w:val="21"/>
                <w:szCs w:val="21"/>
              </w:rPr>
              <w:t>根据投标人售后服务与维保方案，内容包含但不限于售后服务管理</w:t>
            </w:r>
            <w:r>
              <w:rPr>
                <w:rFonts w:hint="eastAsia"/>
                <w:spacing w:val="-1"/>
                <w:sz w:val="21"/>
                <w:szCs w:val="21"/>
                <w:lang w:val="en-US" w:eastAsia="zh-CN"/>
              </w:rPr>
              <w:t>方案</w:t>
            </w:r>
            <w:r>
              <w:rPr>
                <w:spacing w:val="-1"/>
                <w:sz w:val="21"/>
                <w:szCs w:val="21"/>
              </w:rPr>
              <w:t>、售后服务人员配置、售后服务保障措</w:t>
            </w:r>
            <w:r>
              <w:rPr>
                <w:spacing w:val="-4"/>
                <w:sz w:val="21"/>
                <w:szCs w:val="21"/>
              </w:rPr>
              <w:t>施、响应时间等进行评审：</w:t>
            </w:r>
          </w:p>
          <w:p w14:paraId="7325E1AD">
            <w:pPr>
              <w:pStyle w:val="4"/>
              <w:spacing w:before="2" w:line="319" w:lineRule="auto"/>
              <w:ind w:left="116" w:leftChars="0" w:right="116" w:rightChars="0" w:firstLine="4" w:firstLineChars="0"/>
              <w:rPr>
                <w:spacing w:val="-8"/>
                <w:sz w:val="21"/>
                <w:szCs w:val="21"/>
              </w:rPr>
            </w:pPr>
            <w:r>
              <w:rPr>
                <w:spacing w:val="-8"/>
                <w:sz w:val="21"/>
                <w:szCs w:val="21"/>
              </w:rPr>
              <w:t>（1）售后服务与维保方案符合实际要</w:t>
            </w:r>
            <w:r>
              <w:rPr>
                <w:spacing w:val="-4"/>
                <w:sz w:val="21"/>
                <w:szCs w:val="21"/>
              </w:rPr>
              <w:t>求，内容描述详细完整、切实可行，</w:t>
            </w:r>
          </w:p>
          <w:p w14:paraId="42299EA2">
            <w:pPr>
              <w:pStyle w:val="4"/>
              <w:spacing w:before="124" w:line="220" w:lineRule="auto"/>
              <w:ind w:left="114"/>
              <w:rPr>
                <w:sz w:val="21"/>
                <w:szCs w:val="21"/>
              </w:rPr>
            </w:pPr>
            <w:r>
              <w:rPr>
                <w:spacing w:val="-4"/>
                <w:sz w:val="21"/>
                <w:szCs w:val="21"/>
              </w:rPr>
              <w:t>针对性强的，得5分；</w:t>
            </w:r>
          </w:p>
          <w:p w14:paraId="73FAFB63">
            <w:pPr>
              <w:pStyle w:val="4"/>
              <w:spacing w:before="191" w:line="367" w:lineRule="auto"/>
              <w:ind w:left="116" w:right="116" w:firstLine="4"/>
              <w:rPr>
                <w:sz w:val="21"/>
                <w:szCs w:val="21"/>
              </w:rPr>
            </w:pPr>
            <w:r>
              <w:rPr>
                <w:spacing w:val="-8"/>
                <w:sz w:val="21"/>
                <w:szCs w:val="21"/>
              </w:rPr>
              <w:t>（2）售后服务与维保方案符合实际要</w:t>
            </w:r>
            <w:r>
              <w:rPr>
                <w:spacing w:val="-1"/>
                <w:sz w:val="21"/>
                <w:szCs w:val="21"/>
              </w:rPr>
              <w:t>求，内容完整，针对性有待进一步提</w:t>
            </w:r>
            <w:r>
              <w:rPr>
                <w:spacing w:val="-6"/>
                <w:sz w:val="21"/>
                <w:szCs w:val="21"/>
              </w:rPr>
              <w:t>高的，得3分；</w:t>
            </w:r>
          </w:p>
          <w:p w14:paraId="3DDF8F6D">
            <w:pPr>
              <w:pStyle w:val="4"/>
              <w:spacing w:before="1" w:line="366" w:lineRule="auto"/>
              <w:ind w:left="115" w:right="260" w:firstLine="5"/>
              <w:rPr>
                <w:sz w:val="21"/>
                <w:szCs w:val="21"/>
              </w:rPr>
            </w:pPr>
            <w:r>
              <w:rPr>
                <w:spacing w:val="-2"/>
                <w:sz w:val="21"/>
                <w:szCs w:val="21"/>
              </w:rPr>
              <w:t>（3）售后服务与维保方案内容不完</w:t>
            </w:r>
            <w:r>
              <w:rPr>
                <w:spacing w:val="-3"/>
                <w:sz w:val="21"/>
                <w:szCs w:val="21"/>
              </w:rPr>
              <w:t>整，无针对性及可行性，得1分；</w:t>
            </w:r>
          </w:p>
          <w:p w14:paraId="7DE6A2CB">
            <w:pPr>
              <w:pStyle w:val="4"/>
              <w:spacing w:before="1" w:line="218" w:lineRule="auto"/>
              <w:ind w:left="121"/>
              <w:rPr>
                <w:sz w:val="21"/>
                <w:szCs w:val="21"/>
              </w:rPr>
            </w:pPr>
            <w:r>
              <w:rPr>
                <w:spacing w:val="-2"/>
                <w:sz w:val="21"/>
                <w:szCs w:val="21"/>
              </w:rPr>
              <w:t>（4）未提供相关内容的不得分。</w:t>
            </w:r>
          </w:p>
        </w:tc>
        <w:tc>
          <w:tcPr>
            <w:tcW w:w="1732" w:type="dxa"/>
            <w:vMerge w:val="restart"/>
            <w:vAlign w:val="top"/>
          </w:tcPr>
          <w:p w14:paraId="35F5A943">
            <w:pPr>
              <w:spacing w:line="245" w:lineRule="auto"/>
              <w:rPr>
                <w:rFonts w:ascii="Arial"/>
                <w:sz w:val="18"/>
                <w:szCs w:val="18"/>
              </w:rPr>
            </w:pPr>
          </w:p>
          <w:p w14:paraId="5667432D">
            <w:pPr>
              <w:spacing w:line="246" w:lineRule="auto"/>
              <w:rPr>
                <w:rFonts w:ascii="Arial"/>
                <w:sz w:val="18"/>
                <w:szCs w:val="18"/>
              </w:rPr>
            </w:pPr>
          </w:p>
          <w:p w14:paraId="3B3BBE6B">
            <w:pPr>
              <w:spacing w:line="246" w:lineRule="auto"/>
              <w:rPr>
                <w:rFonts w:ascii="Arial"/>
                <w:sz w:val="18"/>
                <w:szCs w:val="18"/>
              </w:rPr>
            </w:pPr>
          </w:p>
          <w:p w14:paraId="1707A7CA">
            <w:pPr>
              <w:spacing w:line="246" w:lineRule="auto"/>
              <w:rPr>
                <w:rFonts w:ascii="Arial"/>
                <w:sz w:val="18"/>
                <w:szCs w:val="18"/>
              </w:rPr>
            </w:pPr>
          </w:p>
          <w:p w14:paraId="04876C43">
            <w:pPr>
              <w:spacing w:line="246" w:lineRule="auto"/>
              <w:rPr>
                <w:rFonts w:ascii="Arial"/>
                <w:sz w:val="18"/>
                <w:szCs w:val="18"/>
              </w:rPr>
            </w:pPr>
          </w:p>
          <w:p w14:paraId="0DD4F9A3">
            <w:pPr>
              <w:pStyle w:val="4"/>
              <w:spacing w:before="78" w:line="220" w:lineRule="auto"/>
              <w:ind w:left="545" w:leftChars="0"/>
              <w:rPr>
                <w:spacing w:val="-3"/>
                <w:sz w:val="21"/>
                <w:szCs w:val="21"/>
              </w:rPr>
            </w:pPr>
            <w:r>
              <w:rPr>
                <w:spacing w:val="-3"/>
                <w:sz w:val="21"/>
                <w:szCs w:val="21"/>
              </w:rPr>
              <w:t>0-</w:t>
            </w:r>
            <w:r>
              <w:rPr>
                <w:rFonts w:hint="eastAsia"/>
                <w:spacing w:val="-3"/>
                <w:sz w:val="21"/>
                <w:szCs w:val="21"/>
                <w:lang w:val="en-US" w:eastAsia="zh-CN"/>
              </w:rPr>
              <w:t>5</w:t>
            </w:r>
            <w:r>
              <w:rPr>
                <w:spacing w:val="-3"/>
                <w:sz w:val="21"/>
                <w:szCs w:val="21"/>
              </w:rPr>
              <w:t>分</w:t>
            </w:r>
          </w:p>
        </w:tc>
      </w:tr>
      <w:tr w14:paraId="484E9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9" w:hRule="atLeast"/>
        </w:trPr>
        <w:tc>
          <w:tcPr>
            <w:tcW w:w="1609" w:type="dxa"/>
            <w:vMerge w:val="restart"/>
            <w:vAlign w:val="top"/>
          </w:tcPr>
          <w:p w14:paraId="0A99104C">
            <w:pPr>
              <w:rPr>
                <w:rFonts w:ascii="Arial"/>
                <w:sz w:val="18"/>
                <w:szCs w:val="18"/>
              </w:rPr>
            </w:pPr>
            <w:r>
              <w:rPr>
                <w:sz w:val="18"/>
                <w:szCs w:val="18"/>
              </w:rPr>
              <mc:AlternateContent>
                <mc:Choice Requires="wps">
                  <w:drawing>
                    <wp:anchor distT="0" distB="0" distL="114300" distR="114300" simplePos="0" relativeHeight="251660288" behindDoc="0" locked="0" layoutInCell="1" allowOverlap="1">
                      <wp:simplePos x="0" y="0"/>
                      <wp:positionH relativeFrom="rightMargin">
                        <wp:posOffset>-374015</wp:posOffset>
                      </wp:positionH>
                      <wp:positionV relativeFrom="topMargin">
                        <wp:posOffset>457835</wp:posOffset>
                      </wp:positionV>
                      <wp:extent cx="8255" cy="250190"/>
                      <wp:effectExtent l="0" t="0" r="10795" b="16510"/>
                      <wp:wrapNone/>
                      <wp:docPr id="3" name="任意多边形 3"/>
                      <wp:cNvGraphicFramePr/>
                      <a:graphic xmlns:a="http://schemas.openxmlformats.org/drawingml/2006/main">
                        <a:graphicData uri="http://schemas.microsoft.com/office/word/2010/wordprocessingShape">
                          <wps:wsp>
                            <wps:cNvSpPr/>
                            <wps:spPr>
                              <a:xfrm>
                                <a:off x="0" y="0"/>
                                <a:ext cx="8255" cy="250190"/>
                              </a:xfrm>
                              <a:custGeom>
                                <a:avLst/>
                                <a:gdLst/>
                                <a:ahLst/>
                                <a:cxnLst/>
                                <a:pathLst>
                                  <a:path w="12" h="394">
                                    <a:moveTo>
                                      <a:pt x="0" y="4"/>
                                    </a:moveTo>
                                    <a:lnTo>
                                      <a:pt x="12" y="4"/>
                                    </a:lnTo>
                                    <a:lnTo>
                                      <a:pt x="12" y="0"/>
                                    </a:lnTo>
                                    <a:lnTo>
                                      <a:pt x="0" y="0"/>
                                    </a:lnTo>
                                    <a:lnTo>
                                      <a:pt x="0" y="4"/>
                                    </a:lnTo>
                                    <a:close/>
                                  </a:path>
                                  <a:path w="12" h="394">
                                    <a:moveTo>
                                      <a:pt x="0" y="393"/>
                                    </a:moveTo>
                                    <a:lnTo>
                                      <a:pt x="12" y="393"/>
                                    </a:lnTo>
                                    <a:lnTo>
                                      <a:pt x="12" y="388"/>
                                    </a:lnTo>
                                    <a:lnTo>
                                      <a:pt x="0" y="388"/>
                                    </a:lnTo>
                                    <a:lnTo>
                                      <a:pt x="0" y="393"/>
                                    </a:lnTo>
                                    <a:close/>
                                  </a:path>
                                  <a:path w="12" h="394">
                                    <a:moveTo>
                                      <a:pt x="0" y="388"/>
                                    </a:moveTo>
                                    <a:lnTo>
                                      <a:pt x="4" y="388"/>
                                    </a:lnTo>
                                    <a:lnTo>
                                      <a:pt x="4" y="4"/>
                                    </a:lnTo>
                                    <a:lnTo>
                                      <a:pt x="0" y="4"/>
                                    </a:lnTo>
                                    <a:lnTo>
                                      <a:pt x="0" y="388"/>
                                    </a:lnTo>
                                    <a:close/>
                                  </a:path>
                                </a:pathLst>
                              </a:custGeom>
                              <a:solidFill>
                                <a:srgbClr val="7F7F7F"/>
                              </a:solidFill>
                              <a:ln>
                                <a:noFill/>
                              </a:ln>
                            </wps:spPr>
                            <wps:bodyPr upright="1"/>
                          </wps:wsp>
                        </a:graphicData>
                      </a:graphic>
                    </wp:anchor>
                  </w:drawing>
                </mc:Choice>
                <mc:Fallback>
                  <w:pict>
                    <v:shape id="_x0000_s1026" o:spid="_x0000_s1026" o:spt="100" style="position:absolute;left:0pt;margin-left:50.9pt;margin-top:36.3pt;height:19.7pt;width:0.65pt;mso-position-horizontal-relative:page;mso-position-vertical-relative:page;z-index:251660288;mso-width-relative:page;mso-height-relative:page;" fillcolor="#7F7F7F" filled="t" stroked="f" coordsize="12,394" o:gfxdata="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ezUwrZAAAA&#10;CgEAAA8AAAAAAAAAAQAgAAAAIgAAAGRycy9kb3ducmV2LnhtbFBLAQIUABQAAAAIAIdO4kDRMycF&#10;VQIAAEkGAAAOAAAAAAAAAAEAIAAAACgBAABkcnMvZTJvRG9jLnhtbFBLBQYAAAAABgAGAFkBAADv&#10;BQAAAAA=&#10;" path="m0,4l12,4,12,0,0,0,0,4xem0,393l12,393,12,388,0,388,0,393xem0,388l4,388,4,4,0,4,0,388xe">
                      <v:fill on="t" focussize="0,0"/>
                      <v:stroke on="f"/>
                      <v:imagedata o:title=""/>
                      <o:lock v:ext="edit" aspectratio="f"/>
                    </v:shape>
                  </w:pict>
                </mc:Fallback>
              </mc:AlternateContent>
            </w:r>
          </w:p>
        </w:tc>
        <w:tc>
          <w:tcPr>
            <w:tcW w:w="1874" w:type="dxa"/>
            <w:vMerge w:val="continue"/>
            <w:vAlign w:val="top"/>
          </w:tcPr>
          <w:p w14:paraId="54B874F1">
            <w:pPr>
              <w:rPr>
                <w:rFonts w:ascii="Arial"/>
                <w:sz w:val="18"/>
                <w:szCs w:val="18"/>
              </w:rPr>
            </w:pPr>
          </w:p>
        </w:tc>
        <w:tc>
          <w:tcPr>
            <w:tcW w:w="4079" w:type="dxa"/>
            <w:vMerge w:val="continue"/>
            <w:vAlign w:val="top"/>
          </w:tcPr>
          <w:p w14:paraId="6DF017C1">
            <w:pPr>
              <w:pStyle w:val="4"/>
              <w:spacing w:before="1" w:line="218" w:lineRule="auto"/>
              <w:ind w:left="121"/>
              <w:rPr>
                <w:sz w:val="21"/>
                <w:szCs w:val="21"/>
              </w:rPr>
            </w:pPr>
          </w:p>
        </w:tc>
        <w:tc>
          <w:tcPr>
            <w:tcW w:w="1732" w:type="dxa"/>
            <w:vMerge w:val="continue"/>
            <w:vAlign w:val="top"/>
          </w:tcPr>
          <w:p w14:paraId="07612D99">
            <w:pPr>
              <w:rPr>
                <w:rFonts w:ascii="Arial"/>
                <w:sz w:val="18"/>
                <w:szCs w:val="18"/>
              </w:rPr>
            </w:pPr>
          </w:p>
        </w:tc>
      </w:tr>
      <w:tr w14:paraId="54E5C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0" w:hRule="atLeast"/>
        </w:trPr>
        <w:tc>
          <w:tcPr>
            <w:tcW w:w="1609" w:type="dxa"/>
            <w:vMerge w:val="continue"/>
            <w:vAlign w:val="top"/>
          </w:tcPr>
          <w:p w14:paraId="692F76C4">
            <w:pPr>
              <w:rPr>
                <w:rFonts w:ascii="Arial"/>
                <w:sz w:val="18"/>
                <w:szCs w:val="18"/>
              </w:rPr>
            </w:pPr>
          </w:p>
        </w:tc>
        <w:tc>
          <w:tcPr>
            <w:tcW w:w="1874" w:type="dxa"/>
            <w:vAlign w:val="top"/>
          </w:tcPr>
          <w:p w14:paraId="530E1F9A">
            <w:pPr>
              <w:rPr>
                <w:rFonts w:ascii="Arial"/>
                <w:sz w:val="18"/>
                <w:szCs w:val="18"/>
              </w:rPr>
            </w:pPr>
          </w:p>
          <w:p w14:paraId="2D441F6B">
            <w:pPr>
              <w:rPr>
                <w:rFonts w:ascii="Arial"/>
                <w:sz w:val="18"/>
                <w:szCs w:val="18"/>
              </w:rPr>
            </w:pPr>
          </w:p>
          <w:p w14:paraId="0186066B">
            <w:pPr>
              <w:rPr>
                <w:rFonts w:ascii="Arial"/>
                <w:sz w:val="18"/>
                <w:szCs w:val="18"/>
              </w:rPr>
            </w:pPr>
          </w:p>
          <w:p w14:paraId="2B150FA4">
            <w:pPr>
              <w:rPr>
                <w:rFonts w:ascii="Arial"/>
                <w:sz w:val="18"/>
                <w:szCs w:val="18"/>
              </w:rPr>
            </w:pPr>
          </w:p>
          <w:p w14:paraId="593C3CD9">
            <w:pPr>
              <w:rPr>
                <w:rFonts w:ascii="Arial"/>
                <w:sz w:val="18"/>
                <w:szCs w:val="18"/>
              </w:rPr>
            </w:pPr>
          </w:p>
          <w:p w14:paraId="5BF07C8E">
            <w:pPr>
              <w:rPr>
                <w:rFonts w:ascii="Arial"/>
                <w:sz w:val="18"/>
                <w:szCs w:val="18"/>
              </w:rPr>
            </w:pPr>
          </w:p>
          <w:p w14:paraId="06201BF4">
            <w:pPr>
              <w:rPr>
                <w:rFonts w:ascii="Arial"/>
                <w:sz w:val="18"/>
                <w:szCs w:val="18"/>
              </w:rPr>
            </w:pPr>
          </w:p>
          <w:p w14:paraId="62808CEC">
            <w:pPr>
              <w:rPr>
                <w:rFonts w:ascii="Arial"/>
                <w:sz w:val="18"/>
                <w:szCs w:val="18"/>
              </w:rPr>
            </w:pPr>
          </w:p>
          <w:p w14:paraId="1E8C9B76">
            <w:pPr>
              <w:spacing w:line="241" w:lineRule="auto"/>
              <w:rPr>
                <w:rFonts w:ascii="Arial"/>
                <w:sz w:val="18"/>
                <w:szCs w:val="18"/>
              </w:rPr>
            </w:pPr>
          </w:p>
          <w:p w14:paraId="351C1086">
            <w:pPr>
              <w:spacing w:line="241" w:lineRule="auto"/>
              <w:rPr>
                <w:rFonts w:ascii="Arial"/>
                <w:sz w:val="18"/>
                <w:szCs w:val="18"/>
              </w:rPr>
            </w:pPr>
          </w:p>
          <w:p w14:paraId="1588B79C">
            <w:pPr>
              <w:spacing w:line="241" w:lineRule="auto"/>
              <w:rPr>
                <w:rFonts w:ascii="Arial"/>
                <w:sz w:val="18"/>
                <w:szCs w:val="18"/>
              </w:rPr>
            </w:pPr>
          </w:p>
          <w:p w14:paraId="76E50A03">
            <w:pPr>
              <w:spacing w:line="241" w:lineRule="auto"/>
              <w:rPr>
                <w:rFonts w:ascii="Arial"/>
                <w:sz w:val="18"/>
                <w:szCs w:val="18"/>
              </w:rPr>
            </w:pPr>
          </w:p>
          <w:p w14:paraId="2E3D1407">
            <w:pPr>
              <w:pStyle w:val="4"/>
              <w:spacing w:before="78" w:line="220" w:lineRule="auto"/>
              <w:ind w:left="224"/>
              <w:rPr>
                <w:sz w:val="21"/>
                <w:szCs w:val="21"/>
              </w:rPr>
            </w:pPr>
            <w:r>
              <w:rPr>
                <w:spacing w:val="-2"/>
                <w:sz w:val="21"/>
                <w:szCs w:val="21"/>
              </w:rPr>
              <w:t>所投产品业绩</w:t>
            </w:r>
          </w:p>
        </w:tc>
        <w:tc>
          <w:tcPr>
            <w:tcW w:w="4079" w:type="dxa"/>
            <w:vAlign w:val="top"/>
          </w:tcPr>
          <w:p w14:paraId="2F4310F7">
            <w:pPr>
              <w:pStyle w:val="4"/>
              <w:spacing w:before="119" w:line="367" w:lineRule="auto"/>
              <w:ind w:left="113" w:right="104" w:firstLine="3"/>
              <w:jc w:val="both"/>
              <w:rPr>
                <w:sz w:val="21"/>
                <w:szCs w:val="21"/>
              </w:rPr>
            </w:pPr>
            <w:r>
              <w:rPr>
                <w:rFonts w:hint="eastAsia"/>
                <w:spacing w:val="-1"/>
                <w:sz w:val="21"/>
                <w:szCs w:val="21"/>
                <w:lang w:val="en-US" w:eastAsia="zh-CN"/>
              </w:rPr>
              <w:t>提供</w:t>
            </w:r>
            <w:r>
              <w:rPr>
                <w:spacing w:val="-1"/>
                <w:sz w:val="21"/>
                <w:szCs w:val="21"/>
              </w:rPr>
              <w:t>202</w:t>
            </w:r>
            <w:r>
              <w:rPr>
                <w:rFonts w:hint="eastAsia"/>
                <w:spacing w:val="-1"/>
                <w:sz w:val="21"/>
                <w:szCs w:val="21"/>
                <w:lang w:val="en-US" w:eastAsia="zh-CN"/>
              </w:rPr>
              <w:t>2</w:t>
            </w:r>
            <w:r>
              <w:rPr>
                <w:spacing w:val="-1"/>
                <w:sz w:val="21"/>
                <w:szCs w:val="21"/>
              </w:rPr>
              <w:t>年1月1日以来（以合同签订时间为准</w:t>
            </w:r>
            <w:r>
              <w:rPr>
                <w:spacing w:val="2"/>
                <w:sz w:val="21"/>
                <w:szCs w:val="21"/>
              </w:rPr>
              <w:t>）</w:t>
            </w:r>
            <w:r>
              <w:rPr>
                <w:spacing w:val="-1"/>
                <w:sz w:val="21"/>
                <w:szCs w:val="21"/>
              </w:rPr>
              <w:t>拟投核心产品</w:t>
            </w:r>
            <w:r>
              <w:rPr>
                <w:rFonts w:hint="eastAsia" w:ascii="宋体" w:hAnsi="宋体" w:eastAsia="宋体" w:cs="宋体"/>
                <w:spacing w:val="-1"/>
                <w:sz w:val="21"/>
                <w:szCs w:val="21"/>
                <w:lang w:val="en-US" w:eastAsia="zh-CN"/>
              </w:rPr>
              <w:t>（明细表中编号5、6、7、9对应设备）</w:t>
            </w:r>
            <w:r>
              <w:rPr>
                <w:spacing w:val="-1"/>
                <w:sz w:val="21"/>
                <w:szCs w:val="21"/>
              </w:rPr>
              <w:t>供货</w:t>
            </w:r>
            <w:r>
              <w:rPr>
                <w:spacing w:val="-7"/>
                <w:sz w:val="21"/>
                <w:szCs w:val="21"/>
              </w:rPr>
              <w:t>业绩，</w:t>
            </w:r>
            <w:r>
              <w:rPr>
                <w:rFonts w:hint="eastAsia"/>
                <w:spacing w:val="-7"/>
                <w:sz w:val="21"/>
                <w:szCs w:val="21"/>
                <w:lang w:val="en-US" w:eastAsia="zh-CN"/>
              </w:rPr>
              <w:t>核心产品均</w:t>
            </w:r>
            <w:r>
              <w:rPr>
                <w:spacing w:val="-7"/>
                <w:sz w:val="21"/>
                <w:szCs w:val="21"/>
              </w:rPr>
              <w:t>提供一</w:t>
            </w:r>
            <w:r>
              <w:rPr>
                <w:rFonts w:hint="eastAsia"/>
                <w:spacing w:val="-7"/>
                <w:sz w:val="21"/>
                <w:szCs w:val="21"/>
                <w:lang w:val="en-US" w:eastAsia="zh-CN"/>
              </w:rPr>
              <w:t>份</w:t>
            </w:r>
            <w:r>
              <w:rPr>
                <w:spacing w:val="-7"/>
                <w:sz w:val="21"/>
                <w:szCs w:val="21"/>
              </w:rPr>
              <w:t>业绩得3分，</w:t>
            </w:r>
            <w:r>
              <w:rPr>
                <w:rFonts w:hint="eastAsia"/>
                <w:spacing w:val="-7"/>
                <w:sz w:val="21"/>
                <w:szCs w:val="21"/>
                <w:lang w:val="en-US" w:eastAsia="zh-CN"/>
              </w:rPr>
              <w:t>以此类推，</w:t>
            </w:r>
            <w:r>
              <w:rPr>
                <w:spacing w:val="-7"/>
                <w:sz w:val="21"/>
                <w:szCs w:val="21"/>
              </w:rPr>
              <w:t>本项最</w:t>
            </w:r>
            <w:r>
              <w:rPr>
                <w:spacing w:val="-6"/>
                <w:sz w:val="21"/>
                <w:szCs w:val="21"/>
              </w:rPr>
              <w:t>多15分。</w:t>
            </w:r>
            <w:bookmarkStart w:id="0" w:name="_GoBack"/>
            <w:bookmarkEnd w:id="0"/>
          </w:p>
          <w:p w14:paraId="2100C814">
            <w:pPr>
              <w:pStyle w:val="4"/>
              <w:spacing w:before="3" w:line="366" w:lineRule="auto"/>
              <w:ind w:left="118" w:firstLine="2"/>
              <w:rPr>
                <w:sz w:val="21"/>
                <w:szCs w:val="21"/>
              </w:rPr>
            </w:pPr>
            <w:r>
              <w:rPr>
                <w:spacing w:val="-7"/>
                <w:sz w:val="21"/>
                <w:szCs w:val="21"/>
              </w:rPr>
              <w:t>（1）此处业绩系指产品业绩，不限合</w:t>
            </w:r>
            <w:r>
              <w:rPr>
                <w:spacing w:val="-8"/>
                <w:sz w:val="21"/>
                <w:szCs w:val="21"/>
              </w:rPr>
              <w:t>同签订主体，但业主单位（合同甲方）</w:t>
            </w:r>
            <w:r>
              <w:rPr>
                <w:spacing w:val="-6"/>
                <w:sz w:val="21"/>
                <w:szCs w:val="21"/>
              </w:rPr>
              <w:t>须为</w:t>
            </w:r>
            <w:r>
              <w:rPr>
                <w:rFonts w:hint="eastAsia"/>
                <w:spacing w:val="-6"/>
                <w:sz w:val="21"/>
                <w:szCs w:val="21"/>
                <w:lang w:val="en-US" w:eastAsia="zh-CN"/>
              </w:rPr>
              <w:t>三级甲等中医院</w:t>
            </w:r>
            <w:r>
              <w:rPr>
                <w:spacing w:val="-6"/>
                <w:sz w:val="21"/>
                <w:szCs w:val="21"/>
              </w:rPr>
              <w:t>。</w:t>
            </w:r>
          </w:p>
          <w:p w14:paraId="09E4C166">
            <w:pPr>
              <w:pStyle w:val="4"/>
              <w:spacing w:before="6" w:line="350" w:lineRule="auto"/>
              <w:ind w:left="113" w:right="19" w:firstLine="7"/>
              <w:rPr>
                <w:sz w:val="21"/>
                <w:szCs w:val="21"/>
              </w:rPr>
            </w:pPr>
            <w:r>
              <w:rPr>
                <w:spacing w:val="-7"/>
                <w:sz w:val="21"/>
                <w:szCs w:val="21"/>
              </w:rPr>
              <w:t>（2）响应文件中提供合同及已完成的</w:t>
            </w:r>
            <w:r>
              <w:rPr>
                <w:spacing w:val="1"/>
                <w:sz w:val="21"/>
                <w:szCs w:val="21"/>
              </w:rPr>
              <w:t>证明材料（验收报告或用户证明）扫描件</w:t>
            </w:r>
            <w:r>
              <w:rPr>
                <w:rFonts w:hint="eastAsia"/>
                <w:spacing w:val="1"/>
                <w:sz w:val="21"/>
                <w:szCs w:val="21"/>
                <w:lang w:eastAsia="zh-CN"/>
              </w:rPr>
              <w:t>，</w:t>
            </w:r>
            <w:r>
              <w:rPr>
                <w:spacing w:val="-9"/>
                <w:sz w:val="21"/>
                <w:szCs w:val="21"/>
              </w:rPr>
              <w:t>否则不得分。</w:t>
            </w:r>
          </w:p>
        </w:tc>
        <w:tc>
          <w:tcPr>
            <w:tcW w:w="1732" w:type="dxa"/>
            <w:vAlign w:val="top"/>
          </w:tcPr>
          <w:p w14:paraId="48399C14">
            <w:pPr>
              <w:rPr>
                <w:rFonts w:ascii="Arial"/>
                <w:sz w:val="18"/>
                <w:szCs w:val="18"/>
              </w:rPr>
            </w:pPr>
          </w:p>
          <w:p w14:paraId="78740FD6">
            <w:pPr>
              <w:rPr>
                <w:rFonts w:ascii="Arial"/>
                <w:sz w:val="18"/>
                <w:szCs w:val="18"/>
              </w:rPr>
            </w:pPr>
          </w:p>
          <w:p w14:paraId="18DD6180">
            <w:pPr>
              <w:rPr>
                <w:rFonts w:ascii="Arial"/>
                <w:sz w:val="18"/>
                <w:szCs w:val="18"/>
              </w:rPr>
            </w:pPr>
          </w:p>
          <w:p w14:paraId="328838AB">
            <w:pPr>
              <w:rPr>
                <w:rFonts w:ascii="Arial"/>
                <w:sz w:val="18"/>
                <w:szCs w:val="18"/>
              </w:rPr>
            </w:pPr>
          </w:p>
          <w:p w14:paraId="5993BCF4">
            <w:pPr>
              <w:rPr>
                <w:rFonts w:ascii="Arial"/>
                <w:sz w:val="18"/>
                <w:szCs w:val="18"/>
              </w:rPr>
            </w:pPr>
          </w:p>
          <w:p w14:paraId="14E51232">
            <w:pPr>
              <w:rPr>
                <w:rFonts w:ascii="Arial"/>
                <w:sz w:val="18"/>
                <w:szCs w:val="18"/>
              </w:rPr>
            </w:pPr>
          </w:p>
          <w:p w14:paraId="3F233CAC">
            <w:pPr>
              <w:rPr>
                <w:rFonts w:ascii="Arial"/>
                <w:sz w:val="18"/>
                <w:szCs w:val="18"/>
              </w:rPr>
            </w:pPr>
          </w:p>
          <w:p w14:paraId="323CF7B5">
            <w:pPr>
              <w:spacing w:line="241" w:lineRule="auto"/>
              <w:rPr>
                <w:rFonts w:ascii="Arial"/>
                <w:sz w:val="18"/>
                <w:szCs w:val="18"/>
              </w:rPr>
            </w:pPr>
          </w:p>
          <w:p w14:paraId="0BDDA377">
            <w:pPr>
              <w:spacing w:line="241" w:lineRule="auto"/>
              <w:rPr>
                <w:rFonts w:ascii="Arial"/>
                <w:sz w:val="18"/>
                <w:szCs w:val="18"/>
              </w:rPr>
            </w:pPr>
          </w:p>
          <w:p w14:paraId="6FDCC3CD">
            <w:pPr>
              <w:spacing w:line="241" w:lineRule="auto"/>
              <w:rPr>
                <w:rFonts w:ascii="Arial"/>
                <w:sz w:val="18"/>
                <w:szCs w:val="18"/>
              </w:rPr>
            </w:pPr>
          </w:p>
          <w:p w14:paraId="27BA4DF1">
            <w:pPr>
              <w:spacing w:line="241" w:lineRule="auto"/>
              <w:rPr>
                <w:rFonts w:ascii="Arial"/>
                <w:sz w:val="18"/>
                <w:szCs w:val="18"/>
              </w:rPr>
            </w:pPr>
          </w:p>
          <w:p w14:paraId="4BEE3F5A">
            <w:pPr>
              <w:spacing w:line="241" w:lineRule="auto"/>
              <w:rPr>
                <w:rFonts w:ascii="Arial"/>
                <w:sz w:val="18"/>
                <w:szCs w:val="18"/>
              </w:rPr>
            </w:pPr>
          </w:p>
          <w:p w14:paraId="3DB20404">
            <w:pPr>
              <w:pStyle w:val="4"/>
              <w:spacing w:before="78" w:line="220" w:lineRule="auto"/>
              <w:ind w:left="485"/>
              <w:rPr>
                <w:sz w:val="21"/>
                <w:szCs w:val="21"/>
              </w:rPr>
            </w:pPr>
            <w:r>
              <w:rPr>
                <w:spacing w:val="-3"/>
                <w:sz w:val="21"/>
                <w:szCs w:val="21"/>
              </w:rPr>
              <w:t>0-15</w:t>
            </w:r>
            <w:r>
              <w:rPr>
                <w:spacing w:val="-46"/>
                <w:sz w:val="21"/>
                <w:szCs w:val="21"/>
              </w:rPr>
              <w:t xml:space="preserve"> </w:t>
            </w:r>
            <w:r>
              <w:rPr>
                <w:spacing w:val="-3"/>
                <w:sz w:val="21"/>
                <w:szCs w:val="21"/>
              </w:rPr>
              <w:t>分</w:t>
            </w:r>
          </w:p>
        </w:tc>
      </w:tr>
      <w:tr w14:paraId="681F4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7" w:hRule="atLeast"/>
        </w:trPr>
        <w:tc>
          <w:tcPr>
            <w:tcW w:w="1609" w:type="dxa"/>
            <w:vMerge w:val="continue"/>
            <w:vAlign w:val="top"/>
          </w:tcPr>
          <w:p w14:paraId="715AA763">
            <w:pPr>
              <w:rPr>
                <w:rFonts w:ascii="Arial"/>
                <w:sz w:val="18"/>
                <w:szCs w:val="18"/>
              </w:rPr>
            </w:pPr>
          </w:p>
        </w:tc>
        <w:tc>
          <w:tcPr>
            <w:tcW w:w="1874" w:type="dxa"/>
            <w:vAlign w:val="top"/>
          </w:tcPr>
          <w:p w14:paraId="6348B42A">
            <w:pPr>
              <w:spacing w:line="251" w:lineRule="auto"/>
              <w:rPr>
                <w:rFonts w:ascii="Arial"/>
                <w:sz w:val="18"/>
                <w:szCs w:val="18"/>
              </w:rPr>
            </w:pPr>
          </w:p>
          <w:p w14:paraId="23CD946A">
            <w:pPr>
              <w:spacing w:line="252" w:lineRule="auto"/>
              <w:rPr>
                <w:rFonts w:ascii="Arial"/>
                <w:sz w:val="18"/>
                <w:szCs w:val="18"/>
              </w:rPr>
            </w:pPr>
          </w:p>
          <w:p w14:paraId="022FD260">
            <w:pPr>
              <w:spacing w:line="252" w:lineRule="auto"/>
              <w:rPr>
                <w:rFonts w:ascii="Arial"/>
                <w:sz w:val="18"/>
                <w:szCs w:val="18"/>
              </w:rPr>
            </w:pPr>
          </w:p>
          <w:p w14:paraId="332E5466">
            <w:pPr>
              <w:pStyle w:val="4"/>
              <w:spacing w:before="78" w:line="220" w:lineRule="auto"/>
              <w:ind w:left="465"/>
              <w:rPr>
                <w:sz w:val="21"/>
                <w:szCs w:val="21"/>
              </w:rPr>
            </w:pPr>
            <w:r>
              <w:rPr>
                <w:spacing w:val="-2"/>
                <w:sz w:val="21"/>
                <w:szCs w:val="21"/>
              </w:rPr>
              <w:t>培训方案</w:t>
            </w:r>
          </w:p>
        </w:tc>
        <w:tc>
          <w:tcPr>
            <w:tcW w:w="4079" w:type="dxa"/>
            <w:vAlign w:val="top"/>
          </w:tcPr>
          <w:p w14:paraId="3F8C7088">
            <w:pPr>
              <w:pStyle w:val="4"/>
              <w:spacing w:before="121" w:line="367" w:lineRule="auto"/>
              <w:ind w:left="114" w:right="128"/>
              <w:jc w:val="both"/>
              <w:rPr>
                <w:sz w:val="21"/>
                <w:szCs w:val="21"/>
              </w:rPr>
            </w:pPr>
            <w:r>
              <w:rPr>
                <w:spacing w:val="-1"/>
                <w:sz w:val="21"/>
                <w:szCs w:val="21"/>
              </w:rPr>
              <w:t>根据投标人的培训方案，内容包含但不限于培训目的、培训方式、培训具</w:t>
            </w:r>
            <w:r>
              <w:rPr>
                <w:spacing w:val="-7"/>
                <w:sz w:val="21"/>
                <w:szCs w:val="21"/>
              </w:rPr>
              <w:t>体内容等进行评审：</w:t>
            </w:r>
          </w:p>
          <w:p w14:paraId="52CFDF7C">
            <w:pPr>
              <w:pStyle w:val="4"/>
              <w:spacing w:line="219" w:lineRule="auto"/>
              <w:ind w:left="121"/>
              <w:rPr>
                <w:spacing w:val="-7"/>
                <w:sz w:val="21"/>
                <w:szCs w:val="21"/>
              </w:rPr>
            </w:pPr>
            <w:r>
              <w:rPr>
                <w:spacing w:val="-7"/>
                <w:sz w:val="21"/>
                <w:szCs w:val="21"/>
              </w:rPr>
              <w:t>（1）培训方案符合实际要求，内容描</w:t>
            </w:r>
          </w:p>
          <w:p w14:paraId="71A6A087">
            <w:pPr>
              <w:pStyle w:val="4"/>
              <w:spacing w:before="126" w:line="366" w:lineRule="auto"/>
              <w:ind w:left="114" w:right="37"/>
              <w:rPr>
                <w:sz w:val="21"/>
                <w:szCs w:val="21"/>
              </w:rPr>
            </w:pPr>
            <w:r>
              <w:rPr>
                <w:spacing w:val="-10"/>
                <w:sz w:val="21"/>
                <w:szCs w:val="21"/>
              </w:rPr>
              <w:t>述详细完整、切实可行，针对性强的，得5分；</w:t>
            </w:r>
          </w:p>
          <w:p w14:paraId="4A464E99">
            <w:pPr>
              <w:pStyle w:val="4"/>
              <w:spacing w:before="3" w:line="366" w:lineRule="auto"/>
              <w:ind w:left="116" w:right="104" w:firstLine="4"/>
              <w:rPr>
                <w:sz w:val="21"/>
                <w:szCs w:val="21"/>
              </w:rPr>
            </w:pPr>
            <w:r>
              <w:rPr>
                <w:spacing w:val="-7"/>
                <w:sz w:val="21"/>
                <w:szCs w:val="21"/>
              </w:rPr>
              <w:t>（2）培训方案符合实际要求，内容不完整，针对性有待进一步提高的，得3</w:t>
            </w:r>
            <w:r>
              <w:rPr>
                <w:spacing w:val="-17"/>
                <w:sz w:val="21"/>
                <w:szCs w:val="21"/>
              </w:rPr>
              <w:t>分；</w:t>
            </w:r>
          </w:p>
          <w:p w14:paraId="4B7E93D0">
            <w:pPr>
              <w:pStyle w:val="4"/>
              <w:spacing w:before="1" w:line="367" w:lineRule="auto"/>
              <w:ind w:left="113" w:right="114" w:firstLine="7"/>
              <w:rPr>
                <w:sz w:val="21"/>
                <w:szCs w:val="21"/>
              </w:rPr>
            </w:pPr>
            <w:r>
              <w:rPr>
                <w:spacing w:val="-8"/>
                <w:sz w:val="21"/>
                <w:szCs w:val="21"/>
              </w:rPr>
              <w:t>（3）培训方案内容不完整，无针对性</w:t>
            </w:r>
            <w:r>
              <w:rPr>
                <w:spacing w:val="-5"/>
                <w:sz w:val="21"/>
                <w:szCs w:val="21"/>
              </w:rPr>
              <w:t>及可行性，得1分；</w:t>
            </w:r>
          </w:p>
          <w:p w14:paraId="019DCDD8">
            <w:pPr>
              <w:pStyle w:val="4"/>
              <w:spacing w:before="1" w:line="218" w:lineRule="auto"/>
              <w:ind w:left="121"/>
              <w:rPr>
                <w:sz w:val="21"/>
                <w:szCs w:val="21"/>
              </w:rPr>
            </w:pPr>
            <w:r>
              <w:rPr>
                <w:spacing w:val="-2"/>
                <w:sz w:val="21"/>
                <w:szCs w:val="21"/>
              </w:rPr>
              <w:t>（4）未提供相关内容的不得分。</w:t>
            </w:r>
          </w:p>
        </w:tc>
        <w:tc>
          <w:tcPr>
            <w:tcW w:w="1732" w:type="dxa"/>
            <w:vAlign w:val="top"/>
          </w:tcPr>
          <w:p w14:paraId="6A6D1807">
            <w:pPr>
              <w:spacing w:line="251" w:lineRule="auto"/>
              <w:rPr>
                <w:rFonts w:ascii="Arial"/>
                <w:sz w:val="18"/>
                <w:szCs w:val="18"/>
              </w:rPr>
            </w:pPr>
          </w:p>
          <w:p w14:paraId="4338E39C">
            <w:pPr>
              <w:spacing w:line="252" w:lineRule="auto"/>
              <w:rPr>
                <w:rFonts w:ascii="Arial"/>
                <w:sz w:val="18"/>
                <w:szCs w:val="18"/>
              </w:rPr>
            </w:pPr>
          </w:p>
          <w:p w14:paraId="36B7DA9F">
            <w:pPr>
              <w:spacing w:line="252" w:lineRule="auto"/>
              <w:rPr>
                <w:rFonts w:ascii="Arial"/>
                <w:sz w:val="18"/>
                <w:szCs w:val="18"/>
              </w:rPr>
            </w:pPr>
          </w:p>
          <w:p w14:paraId="769B9E25">
            <w:pPr>
              <w:pStyle w:val="4"/>
              <w:spacing w:before="78" w:line="220" w:lineRule="auto"/>
              <w:ind w:left="545"/>
              <w:rPr>
                <w:sz w:val="21"/>
                <w:szCs w:val="21"/>
              </w:rPr>
            </w:pPr>
            <w:r>
              <w:rPr>
                <w:spacing w:val="-3"/>
                <w:sz w:val="21"/>
                <w:szCs w:val="21"/>
              </w:rPr>
              <w:t>0-5</w:t>
            </w:r>
            <w:r>
              <w:rPr>
                <w:spacing w:val="-48"/>
                <w:sz w:val="21"/>
                <w:szCs w:val="21"/>
              </w:rPr>
              <w:t xml:space="preserve"> </w:t>
            </w:r>
            <w:r>
              <w:rPr>
                <w:spacing w:val="-3"/>
                <w:sz w:val="21"/>
                <w:szCs w:val="21"/>
              </w:rPr>
              <w:t>分</w:t>
            </w:r>
          </w:p>
        </w:tc>
      </w:tr>
      <w:tr w14:paraId="15791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609" w:type="dxa"/>
            <w:vAlign w:val="top"/>
          </w:tcPr>
          <w:p w14:paraId="04F651B9">
            <w:pPr>
              <w:rPr>
                <w:rFonts w:ascii="Arial"/>
                <w:sz w:val="18"/>
                <w:szCs w:val="18"/>
              </w:rPr>
            </w:pPr>
            <w:r>
              <w:rPr>
                <w:sz w:val="18"/>
                <w:szCs w:val="18"/>
              </w:rPr>
              <mc:AlternateContent>
                <mc:Choice Requires="wps">
                  <w:drawing>
                    <wp:anchor distT="0" distB="0" distL="114300" distR="114300" simplePos="0" relativeHeight="251659264" behindDoc="0" locked="0" layoutInCell="1" allowOverlap="1">
                      <wp:simplePos x="0" y="0"/>
                      <wp:positionH relativeFrom="rightMargin">
                        <wp:posOffset>-374015</wp:posOffset>
                      </wp:positionH>
                      <wp:positionV relativeFrom="topMargin">
                        <wp:posOffset>461010</wp:posOffset>
                      </wp:positionV>
                      <wp:extent cx="8255" cy="250190"/>
                      <wp:effectExtent l="0" t="0" r="10795" b="16510"/>
                      <wp:wrapNone/>
                      <wp:docPr id="1" name="任意多边形 1"/>
                      <wp:cNvGraphicFramePr/>
                      <a:graphic xmlns:a="http://schemas.openxmlformats.org/drawingml/2006/main">
                        <a:graphicData uri="http://schemas.microsoft.com/office/word/2010/wordprocessingShape">
                          <wps:wsp>
                            <wps:cNvSpPr/>
                            <wps:spPr>
                              <a:xfrm>
                                <a:off x="0" y="0"/>
                                <a:ext cx="8255" cy="250190"/>
                              </a:xfrm>
                              <a:custGeom>
                                <a:avLst/>
                                <a:gdLst/>
                                <a:ahLst/>
                                <a:cxnLst/>
                                <a:pathLst>
                                  <a:path w="12" h="394">
                                    <a:moveTo>
                                      <a:pt x="0" y="4"/>
                                    </a:moveTo>
                                    <a:lnTo>
                                      <a:pt x="12" y="4"/>
                                    </a:lnTo>
                                    <a:lnTo>
                                      <a:pt x="12" y="0"/>
                                    </a:lnTo>
                                    <a:lnTo>
                                      <a:pt x="0" y="0"/>
                                    </a:lnTo>
                                    <a:lnTo>
                                      <a:pt x="0" y="4"/>
                                    </a:lnTo>
                                    <a:close/>
                                  </a:path>
                                  <a:path w="12" h="394">
                                    <a:moveTo>
                                      <a:pt x="0" y="393"/>
                                    </a:moveTo>
                                    <a:lnTo>
                                      <a:pt x="12" y="393"/>
                                    </a:lnTo>
                                    <a:lnTo>
                                      <a:pt x="12" y="388"/>
                                    </a:lnTo>
                                    <a:lnTo>
                                      <a:pt x="0" y="388"/>
                                    </a:lnTo>
                                    <a:lnTo>
                                      <a:pt x="0" y="393"/>
                                    </a:lnTo>
                                    <a:close/>
                                  </a:path>
                                  <a:path w="12" h="394">
                                    <a:moveTo>
                                      <a:pt x="0" y="388"/>
                                    </a:moveTo>
                                    <a:lnTo>
                                      <a:pt x="4" y="388"/>
                                    </a:lnTo>
                                    <a:lnTo>
                                      <a:pt x="4" y="4"/>
                                    </a:lnTo>
                                    <a:lnTo>
                                      <a:pt x="0" y="4"/>
                                    </a:lnTo>
                                    <a:lnTo>
                                      <a:pt x="0" y="388"/>
                                    </a:lnTo>
                                    <a:close/>
                                  </a:path>
                                </a:pathLst>
                              </a:custGeom>
                              <a:solidFill>
                                <a:srgbClr val="7F7F7F"/>
                              </a:solidFill>
                              <a:ln>
                                <a:noFill/>
                              </a:ln>
                            </wps:spPr>
                            <wps:bodyPr upright="1"/>
                          </wps:wsp>
                        </a:graphicData>
                      </a:graphic>
                    </wp:anchor>
                  </w:drawing>
                </mc:Choice>
                <mc:Fallback>
                  <w:pict>
                    <v:shape id="_x0000_s1026" o:spid="_x0000_s1026" o:spt="100" style="position:absolute;left:0pt;margin-left:50.9pt;margin-top:36.55pt;height:19.7pt;width:0.65pt;mso-position-horizontal-relative:page;mso-position-vertical-relative:page;z-index:251659264;mso-width-relative:page;mso-height-relative:page;" fillcolor="#7F7F7F" filled="t" stroked="f" coordsize="12,394" o:gfxdata="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IGkKv2AAAAAoB&#10;AAAPAAAAAAAAAAEAIAAAACIAAABkcnMvZG93bnJldi54bWxQSwECFAAUAAAACACHTuJAL39601QC&#10;AABJBgAADgAAAAAAAAABACAAAAAnAQAAZHJzL2Uyb0RvYy54bWxQSwUGAAAAAAYABgBZAQAA7QUA&#10;AAAA&#10;" path="m0,4l12,4,12,0,0,0,0,4xem0,393l12,393,12,388,0,388,0,393xem0,388l4,388,4,4,0,4,0,388xe">
                      <v:fill on="t" focussize="0,0"/>
                      <v:stroke on="f"/>
                      <v:imagedata o:title=""/>
                      <o:lock v:ext="edit" aspectratio="f"/>
                    </v:shape>
                  </w:pict>
                </mc:Fallback>
              </mc:AlternateContent>
            </w:r>
          </w:p>
        </w:tc>
        <w:tc>
          <w:tcPr>
            <w:tcW w:w="1874" w:type="dxa"/>
            <w:vAlign w:val="top"/>
          </w:tcPr>
          <w:p w14:paraId="384CF8B2">
            <w:pPr>
              <w:spacing w:line="251" w:lineRule="auto"/>
              <w:rPr>
                <w:rFonts w:ascii="Arial"/>
                <w:sz w:val="18"/>
                <w:szCs w:val="18"/>
              </w:rPr>
            </w:pPr>
          </w:p>
          <w:p w14:paraId="2946220F">
            <w:pPr>
              <w:spacing w:line="251" w:lineRule="auto"/>
              <w:rPr>
                <w:rFonts w:ascii="Arial"/>
                <w:sz w:val="18"/>
                <w:szCs w:val="18"/>
              </w:rPr>
            </w:pPr>
          </w:p>
          <w:p w14:paraId="27DC5011">
            <w:pPr>
              <w:spacing w:line="251" w:lineRule="auto"/>
              <w:rPr>
                <w:rFonts w:ascii="Arial"/>
                <w:sz w:val="18"/>
                <w:szCs w:val="18"/>
              </w:rPr>
            </w:pPr>
          </w:p>
          <w:p w14:paraId="2BE12BCC">
            <w:pPr>
              <w:pStyle w:val="4"/>
              <w:spacing w:before="78" w:line="220" w:lineRule="auto"/>
              <w:ind w:left="345"/>
              <w:rPr>
                <w:sz w:val="21"/>
                <w:szCs w:val="21"/>
              </w:rPr>
            </w:pPr>
            <w:r>
              <w:rPr>
                <w:spacing w:val="-2"/>
                <w:sz w:val="21"/>
                <w:szCs w:val="21"/>
              </w:rPr>
              <w:t>质保期承诺</w:t>
            </w:r>
          </w:p>
        </w:tc>
        <w:tc>
          <w:tcPr>
            <w:tcW w:w="4079" w:type="dxa"/>
            <w:vAlign w:val="top"/>
          </w:tcPr>
          <w:p w14:paraId="185F98BC">
            <w:pPr>
              <w:pStyle w:val="4"/>
              <w:spacing w:before="123" w:line="366" w:lineRule="auto"/>
              <w:ind w:left="114" w:right="102" w:firstLine="2"/>
              <w:rPr>
                <w:sz w:val="21"/>
                <w:szCs w:val="21"/>
              </w:rPr>
            </w:pPr>
            <w:r>
              <w:rPr>
                <w:sz w:val="21"/>
                <w:szCs w:val="21"/>
              </w:rPr>
              <w:t>投标人在免费质保期的基础上，承诺</w:t>
            </w:r>
            <w:r>
              <w:rPr>
                <w:spacing w:val="-5"/>
                <w:sz w:val="21"/>
                <w:szCs w:val="21"/>
              </w:rPr>
              <w:t>每增加一年得</w:t>
            </w:r>
            <w:r>
              <w:rPr>
                <w:spacing w:val="-35"/>
                <w:sz w:val="21"/>
                <w:szCs w:val="21"/>
              </w:rPr>
              <w:t xml:space="preserve"> </w:t>
            </w:r>
            <w:r>
              <w:rPr>
                <w:rFonts w:hint="eastAsia"/>
                <w:spacing w:val="-5"/>
                <w:sz w:val="21"/>
                <w:szCs w:val="21"/>
                <w:lang w:val="en-US" w:eastAsia="zh-CN"/>
              </w:rPr>
              <w:t>2</w:t>
            </w:r>
            <w:r>
              <w:rPr>
                <w:spacing w:val="-5"/>
                <w:sz w:val="21"/>
                <w:szCs w:val="21"/>
              </w:rPr>
              <w:t>分；</w:t>
            </w:r>
            <w:r>
              <w:rPr>
                <w:sz w:val="21"/>
                <w:szCs w:val="21"/>
              </w:rPr>
              <w:t>本项满分</w:t>
            </w:r>
            <w:r>
              <w:rPr>
                <w:rFonts w:hint="eastAsia"/>
                <w:sz w:val="21"/>
                <w:szCs w:val="21"/>
                <w:lang w:val="en-US" w:eastAsia="zh-CN"/>
              </w:rPr>
              <w:t>10</w:t>
            </w:r>
            <w:r>
              <w:rPr>
                <w:sz w:val="21"/>
                <w:szCs w:val="21"/>
              </w:rPr>
              <w:t>分</w:t>
            </w:r>
            <w:r>
              <w:rPr>
                <w:spacing w:val="-5"/>
                <w:sz w:val="21"/>
                <w:szCs w:val="21"/>
              </w:rPr>
              <w:t>。</w:t>
            </w:r>
          </w:p>
          <w:p w14:paraId="0762DE82">
            <w:pPr>
              <w:pStyle w:val="4"/>
              <w:spacing w:line="318" w:lineRule="auto"/>
              <w:ind w:left="119" w:right="104" w:hanging="2"/>
              <w:rPr>
                <w:sz w:val="21"/>
                <w:szCs w:val="21"/>
              </w:rPr>
            </w:pPr>
            <w:r>
              <w:rPr>
                <w:b/>
                <w:bCs/>
                <w:spacing w:val="-2"/>
                <w:sz w:val="21"/>
                <w:szCs w:val="21"/>
              </w:rPr>
              <w:t>备注：投标人须提供质保服务承诺函</w:t>
            </w:r>
            <w:r>
              <w:rPr>
                <w:b/>
                <w:bCs/>
                <w:spacing w:val="-5"/>
                <w:sz w:val="21"/>
                <w:szCs w:val="21"/>
              </w:rPr>
              <w:t>并盖章单位公章，</w:t>
            </w:r>
            <w:r>
              <w:rPr>
                <w:rFonts w:hint="eastAsia"/>
                <w:b/>
                <w:bCs/>
                <w:spacing w:val="-5"/>
                <w:sz w:val="21"/>
                <w:szCs w:val="21"/>
                <w:lang w:val="en-US" w:eastAsia="zh-CN"/>
              </w:rPr>
              <w:t>厂家质保承诺函并盖厂家公章，</w:t>
            </w:r>
            <w:r>
              <w:rPr>
                <w:b/>
                <w:bCs/>
                <w:spacing w:val="-5"/>
                <w:sz w:val="21"/>
                <w:szCs w:val="21"/>
              </w:rPr>
              <w:t>格式自拟。</w:t>
            </w:r>
          </w:p>
        </w:tc>
        <w:tc>
          <w:tcPr>
            <w:tcW w:w="1732" w:type="dxa"/>
            <w:vAlign w:val="top"/>
          </w:tcPr>
          <w:p w14:paraId="5E83B312">
            <w:pPr>
              <w:spacing w:line="251" w:lineRule="auto"/>
              <w:rPr>
                <w:rFonts w:ascii="Arial"/>
                <w:sz w:val="18"/>
                <w:szCs w:val="18"/>
              </w:rPr>
            </w:pPr>
          </w:p>
          <w:p w14:paraId="44CF501F">
            <w:pPr>
              <w:spacing w:line="251" w:lineRule="auto"/>
              <w:rPr>
                <w:rFonts w:ascii="Arial"/>
                <w:sz w:val="18"/>
                <w:szCs w:val="18"/>
              </w:rPr>
            </w:pPr>
          </w:p>
          <w:p w14:paraId="0448FD71">
            <w:pPr>
              <w:spacing w:line="252" w:lineRule="auto"/>
              <w:rPr>
                <w:rFonts w:ascii="Arial"/>
                <w:sz w:val="18"/>
                <w:szCs w:val="18"/>
              </w:rPr>
            </w:pPr>
          </w:p>
          <w:p w14:paraId="423B718D">
            <w:pPr>
              <w:pStyle w:val="4"/>
              <w:spacing w:before="78" w:line="220" w:lineRule="auto"/>
              <w:ind w:left="545"/>
              <w:rPr>
                <w:sz w:val="21"/>
                <w:szCs w:val="21"/>
              </w:rPr>
            </w:pPr>
            <w:r>
              <w:rPr>
                <w:spacing w:val="-3"/>
                <w:sz w:val="21"/>
                <w:szCs w:val="21"/>
              </w:rPr>
              <w:t>0-</w:t>
            </w:r>
            <w:r>
              <w:rPr>
                <w:rFonts w:hint="eastAsia"/>
                <w:spacing w:val="-3"/>
                <w:sz w:val="21"/>
                <w:szCs w:val="21"/>
                <w:lang w:val="en-US" w:eastAsia="zh-CN"/>
              </w:rPr>
              <w:t>10</w:t>
            </w:r>
            <w:r>
              <w:rPr>
                <w:spacing w:val="-3"/>
                <w:sz w:val="21"/>
                <w:szCs w:val="21"/>
              </w:rPr>
              <w:t>分</w:t>
            </w:r>
          </w:p>
        </w:tc>
      </w:tr>
      <w:tr w14:paraId="173C4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2" w:hRule="atLeast"/>
        </w:trPr>
        <w:tc>
          <w:tcPr>
            <w:tcW w:w="1609" w:type="dxa"/>
            <w:vAlign w:val="top"/>
          </w:tcPr>
          <w:p w14:paraId="5B6F77F3">
            <w:pPr>
              <w:spacing w:line="282" w:lineRule="auto"/>
              <w:rPr>
                <w:rFonts w:ascii="Arial"/>
                <w:sz w:val="18"/>
                <w:szCs w:val="18"/>
              </w:rPr>
            </w:pPr>
          </w:p>
          <w:p w14:paraId="2B2E28D9">
            <w:pPr>
              <w:pStyle w:val="4"/>
              <w:spacing w:before="78" w:line="218" w:lineRule="auto"/>
              <w:ind w:left="451"/>
              <w:rPr>
                <w:sz w:val="21"/>
                <w:szCs w:val="21"/>
              </w:rPr>
            </w:pPr>
            <w:r>
              <w:rPr>
                <w:spacing w:val="-3"/>
                <w:sz w:val="21"/>
                <w:szCs w:val="21"/>
              </w:rPr>
              <w:t>价格分</w:t>
            </w:r>
          </w:p>
          <w:p w14:paraId="78DF36A4">
            <w:pPr>
              <w:spacing w:before="76" w:line="5" w:lineRule="exact"/>
              <w:ind w:left="287"/>
              <w:rPr>
                <w:sz w:val="18"/>
                <w:szCs w:val="18"/>
              </w:rPr>
            </w:pPr>
            <w:r>
              <w:rPr>
                <w:sz w:val="18"/>
                <w:szCs w:val="18"/>
              </w:rPr>
              <w:drawing>
                <wp:inline distT="0" distB="0" distL="0" distR="0">
                  <wp:extent cx="7620" cy="2540"/>
                  <wp:effectExtent l="0" t="0" r="0" b="0"/>
                  <wp:docPr id="596" name="IM 596"/>
                  <wp:cNvGraphicFramePr/>
                  <a:graphic xmlns:a="http://schemas.openxmlformats.org/drawingml/2006/main">
                    <a:graphicData uri="http://schemas.openxmlformats.org/drawingml/2006/picture">
                      <pic:pic xmlns:pic="http://schemas.openxmlformats.org/drawingml/2006/picture">
                        <pic:nvPicPr>
                          <pic:cNvPr id="596" name="IM 596"/>
                          <pic:cNvPicPr/>
                        </pic:nvPicPr>
                        <pic:blipFill>
                          <a:blip r:embed="rId8"/>
                          <a:stretch>
                            <a:fillRect/>
                          </a:stretch>
                        </pic:blipFill>
                        <pic:spPr>
                          <a:xfrm>
                            <a:off x="0" y="0"/>
                            <a:ext cx="7620" cy="3022"/>
                          </a:xfrm>
                          <a:prstGeom prst="rect">
                            <a:avLst/>
                          </a:prstGeom>
                        </pic:spPr>
                      </pic:pic>
                    </a:graphicData>
                  </a:graphic>
                </wp:inline>
              </w:drawing>
            </w:r>
          </w:p>
          <w:p w14:paraId="2AD1FCDA">
            <w:pPr>
              <w:pStyle w:val="4"/>
              <w:spacing w:line="232" w:lineRule="auto"/>
              <w:ind w:left="287"/>
              <w:rPr>
                <w:sz w:val="21"/>
                <w:szCs w:val="21"/>
              </w:rPr>
            </w:pPr>
            <w:r>
              <w:rPr>
                <w:position w:val="-6"/>
                <w:sz w:val="21"/>
                <w:szCs w:val="21"/>
              </w:rPr>
              <w:drawing>
                <wp:inline distT="0" distB="0" distL="0" distR="0">
                  <wp:extent cx="2540" cy="243205"/>
                  <wp:effectExtent l="0" t="0" r="0" b="0"/>
                  <wp:docPr id="598" name="IM 598"/>
                  <wp:cNvGraphicFramePr/>
                  <a:graphic xmlns:a="http://schemas.openxmlformats.org/drawingml/2006/main">
                    <a:graphicData uri="http://schemas.openxmlformats.org/drawingml/2006/picture">
                      <pic:pic xmlns:pic="http://schemas.openxmlformats.org/drawingml/2006/picture">
                        <pic:nvPicPr>
                          <pic:cNvPr id="598" name="IM 598"/>
                          <pic:cNvPicPr/>
                        </pic:nvPicPr>
                        <pic:blipFill>
                          <a:blip r:embed="rId9"/>
                          <a:stretch>
                            <a:fillRect/>
                          </a:stretch>
                        </pic:blipFill>
                        <pic:spPr>
                          <a:xfrm>
                            <a:off x="0" y="0"/>
                            <a:ext cx="3048" cy="243814"/>
                          </a:xfrm>
                          <a:prstGeom prst="rect">
                            <a:avLst/>
                          </a:prstGeom>
                        </pic:spPr>
                      </pic:pic>
                    </a:graphicData>
                  </a:graphic>
                </wp:inline>
              </w:drawing>
            </w:r>
            <w:r>
              <w:rPr>
                <w:spacing w:val="-13"/>
                <w:sz w:val="21"/>
                <w:szCs w:val="21"/>
              </w:rPr>
              <w:t>（</w:t>
            </w:r>
            <w:r>
              <w:rPr>
                <w:spacing w:val="-71"/>
                <w:sz w:val="21"/>
                <w:szCs w:val="21"/>
              </w:rPr>
              <w:t xml:space="preserve"> </w:t>
            </w:r>
            <w:r>
              <w:rPr>
                <w:spacing w:val="-13"/>
                <w:sz w:val="21"/>
                <w:szCs w:val="21"/>
                <w:u w:val="single" w:color="auto"/>
              </w:rPr>
              <w:t>30</w:t>
            </w:r>
            <w:r>
              <w:rPr>
                <w:spacing w:val="-47"/>
                <w:sz w:val="21"/>
                <w:szCs w:val="21"/>
                <w:u w:val="single" w:color="auto"/>
              </w:rPr>
              <w:t xml:space="preserve"> </w:t>
            </w:r>
            <w:r>
              <w:rPr>
                <w:spacing w:val="-13"/>
                <w:sz w:val="21"/>
                <w:szCs w:val="21"/>
              </w:rPr>
              <w:t>分）</w:t>
            </w:r>
          </w:p>
          <w:p w14:paraId="6AA38B2B">
            <w:pPr>
              <w:spacing w:line="4" w:lineRule="exact"/>
              <w:ind w:left="287"/>
              <w:rPr>
                <w:sz w:val="18"/>
                <w:szCs w:val="18"/>
              </w:rPr>
            </w:pPr>
            <w:r>
              <w:rPr>
                <w:sz w:val="18"/>
                <w:szCs w:val="18"/>
              </w:rPr>
              <w:drawing>
                <wp:inline distT="0" distB="0" distL="0" distR="0">
                  <wp:extent cx="7620" cy="2540"/>
                  <wp:effectExtent l="0" t="0" r="0" b="0"/>
                  <wp:docPr id="600" name="IM 600"/>
                  <wp:cNvGraphicFramePr/>
                  <a:graphic xmlns:a="http://schemas.openxmlformats.org/drawingml/2006/main">
                    <a:graphicData uri="http://schemas.openxmlformats.org/drawingml/2006/picture">
                      <pic:pic xmlns:pic="http://schemas.openxmlformats.org/drawingml/2006/picture">
                        <pic:nvPicPr>
                          <pic:cNvPr id="600" name="IM 600"/>
                          <pic:cNvPicPr/>
                        </pic:nvPicPr>
                        <pic:blipFill>
                          <a:blip r:embed="rId10"/>
                          <a:stretch>
                            <a:fillRect/>
                          </a:stretch>
                        </pic:blipFill>
                        <pic:spPr>
                          <a:xfrm>
                            <a:off x="0" y="0"/>
                            <a:ext cx="7620" cy="3047"/>
                          </a:xfrm>
                          <a:prstGeom prst="rect">
                            <a:avLst/>
                          </a:prstGeom>
                        </pic:spPr>
                      </pic:pic>
                    </a:graphicData>
                  </a:graphic>
                </wp:inline>
              </w:drawing>
            </w:r>
          </w:p>
        </w:tc>
        <w:tc>
          <w:tcPr>
            <w:tcW w:w="7685" w:type="dxa"/>
            <w:gridSpan w:val="3"/>
            <w:vAlign w:val="top"/>
          </w:tcPr>
          <w:p w14:paraId="481BA1D2">
            <w:pPr>
              <w:pStyle w:val="4"/>
              <w:spacing w:before="121" w:line="336" w:lineRule="auto"/>
              <w:ind w:left="117" w:right="108"/>
              <w:jc w:val="both"/>
              <w:rPr>
                <w:spacing w:val="-7"/>
                <w:sz w:val="21"/>
                <w:szCs w:val="21"/>
              </w:rPr>
            </w:pPr>
            <w:r>
              <w:rPr>
                <w:sz w:val="21"/>
                <w:szCs w:val="21"/>
              </w:rPr>
              <w:t>价格分统一采用低价优先法，即满足招标文件要求且投标价格最低的投</w:t>
            </w:r>
            <w:r>
              <w:rPr>
                <w:spacing w:val="-4"/>
                <w:sz w:val="21"/>
                <w:szCs w:val="21"/>
              </w:rPr>
              <w:t>标报价为评标基准价，其价格分为满分</w:t>
            </w:r>
            <w:r>
              <w:rPr>
                <w:spacing w:val="-45"/>
                <w:sz w:val="21"/>
                <w:szCs w:val="21"/>
              </w:rPr>
              <w:t xml:space="preserve"> </w:t>
            </w:r>
            <w:r>
              <w:rPr>
                <w:spacing w:val="-4"/>
                <w:sz w:val="21"/>
                <w:szCs w:val="21"/>
                <w:u w:val="single" w:color="auto"/>
              </w:rPr>
              <w:t>30</w:t>
            </w:r>
            <w:r>
              <w:rPr>
                <w:spacing w:val="-48"/>
                <w:sz w:val="21"/>
                <w:szCs w:val="21"/>
                <w:u w:val="single" w:color="auto"/>
              </w:rPr>
              <w:t xml:space="preserve"> </w:t>
            </w:r>
            <w:r>
              <w:rPr>
                <w:spacing w:val="-4"/>
                <w:sz w:val="21"/>
                <w:szCs w:val="21"/>
              </w:rPr>
              <w:t>分。其他投标人</w:t>
            </w:r>
            <w:r>
              <w:rPr>
                <w:spacing w:val="-5"/>
                <w:sz w:val="21"/>
                <w:szCs w:val="21"/>
              </w:rPr>
              <w:t>的价格分统一</w:t>
            </w:r>
            <w:r>
              <w:rPr>
                <w:spacing w:val="-7"/>
                <w:sz w:val="21"/>
                <w:szCs w:val="21"/>
              </w:rPr>
              <w:t>按照下列公式计算：</w:t>
            </w:r>
          </w:p>
          <w:p w14:paraId="12260B88">
            <w:pPr>
              <w:pStyle w:val="4"/>
              <w:spacing w:before="121" w:line="336" w:lineRule="auto"/>
              <w:ind w:left="117" w:right="108"/>
              <w:jc w:val="both"/>
              <w:rPr>
                <w:spacing w:val="-7"/>
                <w:sz w:val="21"/>
                <w:szCs w:val="21"/>
              </w:rPr>
            </w:pPr>
            <w:r>
              <w:rPr>
                <w:spacing w:val="2"/>
              </w:rPr>
              <w:t>投标报价得分</w:t>
            </w:r>
            <w:r>
              <w:rPr>
                <w:spacing w:val="-1"/>
              </w:rPr>
              <w:t>＝（</w:t>
            </w:r>
            <w:r>
              <w:rPr>
                <w:spacing w:val="2"/>
              </w:rPr>
              <w:t>评标基准价/投标报价）×3</w:t>
            </w:r>
            <w:r>
              <w:rPr>
                <w:spacing w:val="1"/>
              </w:rPr>
              <w:t>0%×</w:t>
            </w:r>
            <w:r>
              <w:rPr>
                <w:spacing w:val="-46"/>
              </w:rPr>
              <w:t xml:space="preserve"> </w:t>
            </w:r>
            <w:r>
              <w:rPr>
                <w:spacing w:val="1"/>
              </w:rPr>
              <w:t>100</w:t>
            </w:r>
          </w:p>
        </w:tc>
      </w:tr>
    </w:tbl>
    <w:p w14:paraId="19FAA76E">
      <w:pPr>
        <w:rPr>
          <w:sz w:val="18"/>
          <w:szCs w:val="1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42251B"/>
    <w:rsid w:val="160F2F3A"/>
    <w:rsid w:val="3D3660D5"/>
    <w:rsid w:val="48CB50F8"/>
    <w:rsid w:val="4B4225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Text"/>
    <w:basedOn w:val="1"/>
    <w:semiHidden/>
    <w:qFormat/>
    <w:uiPriority w:val="0"/>
    <w:rPr>
      <w:rFonts w:ascii="宋体" w:hAnsi="宋体" w:eastAsia="宋体" w:cs="宋体"/>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1125</Words>
  <Characters>1156</Characters>
  <Lines>0</Lines>
  <Paragraphs>0</Paragraphs>
  <TotalTime>2</TotalTime>
  <ScaleCrop>false</ScaleCrop>
  <LinksUpToDate>false</LinksUpToDate>
  <CharactersWithSpaces>1169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2026-10-17T02:15:00Z</dcterms:created>
  <dc:creator>徐承辉</dc:creator>
  <cp:lastModifiedBy>徐承辉</cp:lastModifiedBy>
  <dcterms:modified xsi:type="dcterms:W3CDTF">2026-10-17T03:25:31Z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A2DCC868BA884FA0A84C50F89EE6DEC9_11</vt:lpwstr>
  </property>
  <property fmtid="{D5CDD505-2E9C-101B-9397-08002B2CF9AE}" pid="4" name="KSOTemplateDocerSaveRecord">
    <vt:lpwstr>eyJoZGlkIjoiZDg4YjM4ODYwZDIxOTkzM2JiMjQyMTM5YTFhYTA2MDAiLCJ1c2VySWQiOiIzMTgzMDA2MzcifQ==</vt:lpwstr>
  </property>
</Properties>
</file>