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仿宋" w:hAnsi="仿宋" w:eastAsia="仿宋" w:cs="仿宋"/>
          <w:b/>
          <w:bCs/>
          <w:sz w:val="44"/>
          <w:szCs w:val="44"/>
          <w:lang w:val="en-US" w:eastAsia="zh-CN"/>
        </w:rPr>
      </w:pPr>
      <w:r>
        <w:rPr>
          <w:rFonts w:hint="eastAsia" w:ascii="宋体" w:hAnsi="宋体" w:eastAsia="宋体" w:cs="宋体"/>
          <w:b/>
          <w:bCs/>
          <w:i w:val="0"/>
          <w:iCs w:val="0"/>
          <w:caps w:val="0"/>
          <w:color w:val="333333"/>
          <w:spacing w:val="0"/>
          <w:kern w:val="0"/>
          <w:sz w:val="44"/>
          <w:szCs w:val="44"/>
          <w:shd w:val="clear" w:fill="FFFFFF"/>
          <w:lang w:val="en-US" w:eastAsia="zh-CN" w:bidi="ar"/>
        </w:rPr>
        <w:t>天长市中医院无陪护病房陪护服务竞标文件</w:t>
      </w:r>
    </w:p>
    <w:p>
      <w:pPr>
        <w:keepNext w:val="0"/>
        <w:keepLines w:val="0"/>
        <w:widowControl/>
        <w:suppressLineNumbers w:val="0"/>
        <w:shd w:val="clear" w:fill="FFFFFF"/>
        <w:spacing w:before="0" w:beforeAutospacing="0" w:after="0" w:afterAutospacing="0" w:line="23" w:lineRule="atLeast"/>
        <w:ind w:left="0" w:right="0" w:firstLine="0"/>
        <w:jc w:val="left"/>
        <w:rPr>
          <w:rFonts w:hint="eastAsia" w:ascii="宋体" w:hAnsi="宋体" w:eastAsia="宋体" w:cs="宋体"/>
          <w:i w:val="0"/>
          <w:iCs w:val="0"/>
          <w:caps w:val="0"/>
          <w:color w:val="333333"/>
          <w:spacing w:val="0"/>
          <w:kern w:val="0"/>
          <w:sz w:val="24"/>
          <w:szCs w:val="24"/>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我院无陪护病房陪护服务采用“医院监管+第三方服务”的模式，对外公开竞标确定，欢迎符合下列要求单位参加。具体要求如下：</w:t>
      </w:r>
    </w:p>
    <w:p>
      <w:pPr>
        <w:keepNext w:val="0"/>
        <w:keepLines w:val="0"/>
        <w:pageBreakBefore w:val="0"/>
        <w:kinsoku/>
        <w:wordWrap/>
        <w:overflowPunct/>
        <w:topLinePunct w:val="0"/>
        <w:autoSpaceDE/>
        <w:autoSpaceDN/>
        <w:bidi w:val="0"/>
        <w:spacing w:line="440" w:lineRule="exact"/>
        <w:ind w:firstLine="452" w:firstLineChars="200"/>
        <w:textAlignment w:val="auto"/>
        <w:rPr>
          <w:rFonts w:hint="eastAsia" w:ascii="宋体" w:hAnsi="宋体" w:eastAsia="宋体" w:cs="宋体"/>
          <w:b/>
          <w:bCs/>
          <w:color w:val="auto"/>
          <w:sz w:val="24"/>
          <w:szCs w:val="24"/>
        </w:rPr>
      </w:pPr>
      <w:r>
        <w:rPr>
          <w:rFonts w:hint="eastAsia" w:ascii="宋体" w:hAnsi="宋体" w:eastAsia="宋体" w:cs="宋体"/>
          <w:b/>
          <w:bCs/>
          <w:i w:val="0"/>
          <w:iCs w:val="0"/>
          <w:caps w:val="0"/>
          <w:color w:val="auto"/>
          <w:spacing w:val="0"/>
          <w:kern w:val="0"/>
          <w:sz w:val="24"/>
          <w:szCs w:val="24"/>
          <w:shd w:val="clear" w:fill="FFFFFF"/>
          <w:lang w:val="en-US" w:eastAsia="zh-CN" w:bidi="ar"/>
        </w:rPr>
        <w:t>一、</w:t>
      </w:r>
      <w:r>
        <w:rPr>
          <w:rFonts w:hint="eastAsia" w:ascii="宋体" w:hAnsi="宋体" w:eastAsia="宋体" w:cs="宋体"/>
          <w:b/>
          <w:bCs/>
          <w:color w:val="auto"/>
          <w:sz w:val="24"/>
          <w:szCs w:val="24"/>
        </w:rPr>
        <w:t>投标人应具备的条件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（一）企业资质要求</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right="0" w:firstLine="452" w:firstLineChars="200"/>
        <w:jc w:val="left"/>
        <w:textAlignment w:val="auto"/>
        <w:rPr>
          <w:rFonts w:hint="eastAsia" w:ascii="宋体" w:hAnsi="宋体" w:eastAsia="宋体" w:cs="宋体"/>
          <w:b w:val="0"/>
          <w:bCs w:val="0"/>
          <w:color w:val="auto"/>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w:t>
      </w:r>
      <w:r>
        <w:rPr>
          <w:rFonts w:hint="eastAsia" w:ascii="宋体" w:hAnsi="宋体" w:eastAsia="宋体" w:cs="宋体"/>
          <w:b w:val="0"/>
          <w:bCs w:val="0"/>
          <w:color w:val="auto"/>
          <w:sz w:val="24"/>
          <w:szCs w:val="24"/>
        </w:rPr>
        <w:t>投标人符合《政府采购法》第二十二条规定；应具有独立法人资格，营业执照</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注册经营范围必须包含</w:t>
      </w:r>
      <w:r>
        <w:rPr>
          <w:rFonts w:hint="eastAsia" w:ascii="宋体" w:hAnsi="宋体" w:eastAsia="宋体" w:cs="宋体"/>
          <w:b w:val="0"/>
          <w:bCs w:val="0"/>
          <w:i w:val="0"/>
          <w:iCs w:val="0"/>
          <w:caps w:val="0"/>
          <w:color w:val="auto"/>
          <w:spacing w:val="0"/>
          <w:kern w:val="0"/>
          <w:sz w:val="24"/>
          <w:szCs w:val="24"/>
          <w:shd w:val="clear" w:fill="FFFFFF"/>
          <w:lang w:val="en-US" w:eastAsia="zh-CN" w:bidi="ar"/>
        </w:rPr>
        <w:t>病人陪护服务、医疗机构服务等相关内容</w:t>
      </w:r>
      <w:r>
        <w:rPr>
          <w:rFonts w:hint="eastAsia" w:ascii="宋体" w:hAnsi="宋体" w:eastAsia="宋体" w:cs="宋体"/>
          <w:b w:val="0"/>
          <w:bCs w:val="0"/>
          <w:color w:val="auto"/>
          <w:sz w:val="24"/>
          <w:szCs w:val="24"/>
        </w:rPr>
        <w:t xml:space="preserve">； </w:t>
      </w:r>
    </w:p>
    <w:p>
      <w:pPr>
        <w:keepNext w:val="0"/>
        <w:keepLines w:val="0"/>
        <w:pageBreakBefore w:val="0"/>
        <w:kinsoku/>
        <w:wordWrap/>
        <w:overflowPunct/>
        <w:topLinePunct w:val="0"/>
        <w:autoSpaceDE/>
        <w:autoSpaceDN/>
        <w:bidi w:val="0"/>
        <w:spacing w:line="440" w:lineRule="exact"/>
        <w:ind w:firstLine="452"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kern w:val="0"/>
          <w:sz w:val="24"/>
          <w:szCs w:val="24"/>
          <w:lang w:val="en-US" w:eastAsia="zh-CN"/>
        </w:rPr>
        <w:t>2、</w:t>
      </w:r>
      <w:r>
        <w:rPr>
          <w:rFonts w:hint="eastAsia" w:ascii="宋体" w:hAnsi="宋体" w:eastAsia="宋体" w:cs="宋体"/>
          <w:b w:val="0"/>
          <w:bCs w:val="0"/>
          <w:color w:val="auto"/>
          <w:kern w:val="0"/>
          <w:sz w:val="24"/>
          <w:szCs w:val="24"/>
        </w:rPr>
        <w:t>投标人</w:t>
      </w:r>
      <w:r>
        <w:rPr>
          <w:rFonts w:hint="eastAsia" w:ascii="宋体" w:hAnsi="宋体" w:eastAsia="宋体" w:cs="宋体"/>
          <w:b w:val="0"/>
          <w:bCs w:val="0"/>
          <w:color w:val="FF0000"/>
          <w:kern w:val="0"/>
          <w:sz w:val="24"/>
          <w:szCs w:val="24"/>
          <w:highlight w:val="yellow"/>
        </w:rPr>
        <w:t>近</w:t>
      </w:r>
      <w:r>
        <w:rPr>
          <w:rFonts w:hint="eastAsia" w:ascii="宋体" w:hAnsi="宋体" w:eastAsia="宋体" w:cs="宋体"/>
          <w:b w:val="0"/>
          <w:bCs w:val="0"/>
          <w:color w:val="FF0000"/>
          <w:kern w:val="0"/>
          <w:sz w:val="24"/>
          <w:szCs w:val="24"/>
          <w:highlight w:val="yellow"/>
          <w:lang w:val="en-US" w:eastAsia="zh-CN"/>
        </w:rPr>
        <w:t>3</w:t>
      </w:r>
      <w:r>
        <w:rPr>
          <w:rFonts w:hint="eastAsia" w:ascii="宋体" w:hAnsi="宋体" w:eastAsia="宋体" w:cs="宋体"/>
          <w:b w:val="0"/>
          <w:bCs w:val="0"/>
          <w:color w:val="FF0000"/>
          <w:kern w:val="0"/>
          <w:sz w:val="24"/>
          <w:szCs w:val="24"/>
          <w:highlight w:val="yellow"/>
        </w:rPr>
        <w:t>年</w:t>
      </w:r>
      <w:r>
        <w:rPr>
          <w:rFonts w:hint="eastAsia" w:ascii="宋体" w:hAnsi="宋体" w:eastAsia="宋体" w:cs="宋体"/>
          <w:b w:val="0"/>
          <w:bCs w:val="0"/>
          <w:color w:val="auto"/>
          <w:kern w:val="0"/>
          <w:sz w:val="24"/>
          <w:szCs w:val="24"/>
        </w:rPr>
        <w:t>（202</w:t>
      </w:r>
      <w:r>
        <w:rPr>
          <w:rFonts w:hint="eastAsia" w:ascii="宋体" w:hAnsi="宋体" w:eastAsia="宋体" w:cs="宋体"/>
          <w:b w:val="0"/>
          <w:bCs w:val="0"/>
          <w:color w:val="auto"/>
          <w:kern w:val="0"/>
          <w:sz w:val="24"/>
          <w:szCs w:val="24"/>
          <w:lang w:val="en-US" w:eastAsia="zh-CN"/>
        </w:rPr>
        <w:t>3</w:t>
      </w:r>
      <w:r>
        <w:rPr>
          <w:rFonts w:hint="eastAsia" w:ascii="宋体" w:hAnsi="宋体" w:eastAsia="宋体" w:cs="宋体"/>
          <w:b w:val="0"/>
          <w:bCs w:val="0"/>
          <w:color w:val="auto"/>
          <w:kern w:val="0"/>
          <w:sz w:val="24"/>
          <w:szCs w:val="24"/>
        </w:rPr>
        <w:t>年1月1日以来，以合同签订时间为准）具有三甲医院类似项目</w:t>
      </w:r>
      <w:r>
        <w:rPr>
          <w:rFonts w:hint="eastAsia" w:ascii="宋体" w:hAnsi="宋体" w:eastAsia="宋体" w:cs="宋体"/>
          <w:b w:val="0"/>
          <w:bCs w:val="0"/>
          <w:color w:val="FF0000"/>
          <w:kern w:val="0"/>
          <w:sz w:val="24"/>
          <w:szCs w:val="24"/>
          <w:highlight w:val="yellow"/>
          <w:lang w:val="en-US" w:eastAsia="zh-CN"/>
        </w:rPr>
        <w:t>服务</w:t>
      </w:r>
      <w:r>
        <w:rPr>
          <w:rFonts w:hint="eastAsia" w:ascii="宋体" w:hAnsi="宋体" w:eastAsia="宋体" w:cs="宋体"/>
          <w:b w:val="0"/>
          <w:bCs w:val="0"/>
          <w:color w:val="auto"/>
          <w:kern w:val="0"/>
          <w:sz w:val="24"/>
          <w:szCs w:val="24"/>
        </w:rPr>
        <w:t>业绩（须提供合同扫描件</w:t>
      </w:r>
      <w:r>
        <w:rPr>
          <w:rFonts w:hint="eastAsia" w:ascii="宋体" w:hAnsi="宋体" w:eastAsia="宋体" w:cs="宋体"/>
          <w:b w:val="0"/>
          <w:bCs w:val="0"/>
          <w:color w:val="auto"/>
          <w:kern w:val="0"/>
          <w:sz w:val="24"/>
          <w:szCs w:val="24"/>
          <w:lang w:val="en-US" w:eastAsia="zh-CN"/>
        </w:rPr>
        <w:t>及中标通知书</w:t>
      </w:r>
      <w:r>
        <w:rPr>
          <w:rFonts w:hint="eastAsia" w:ascii="宋体" w:hAnsi="宋体" w:eastAsia="宋体" w:cs="宋体"/>
          <w:b w:val="0"/>
          <w:bCs w:val="0"/>
          <w:color w:val="auto"/>
          <w:kern w:val="0"/>
          <w:sz w:val="24"/>
          <w:szCs w:val="24"/>
        </w:rPr>
        <w:t>，同时须提供国家卫计委网站查询截图或医院官网截图或医院盖章的证明等能证明医院等级的证明材料）</w:t>
      </w:r>
      <w:r>
        <w:rPr>
          <w:rFonts w:hint="eastAsia" w:ascii="宋体" w:hAnsi="宋体" w:eastAsia="宋体" w:cs="宋体"/>
          <w:b w:val="0"/>
          <w:bCs w:val="0"/>
          <w:color w:val="auto"/>
          <w:sz w:val="24"/>
          <w:szCs w:val="24"/>
        </w:rPr>
        <w:t>；</w:t>
      </w:r>
    </w:p>
    <w:p>
      <w:pPr>
        <w:keepNext w:val="0"/>
        <w:keepLines w:val="0"/>
        <w:pageBreakBefore w:val="0"/>
        <w:kinsoku/>
        <w:wordWrap/>
        <w:overflowPunct/>
        <w:topLinePunct w:val="0"/>
        <w:autoSpaceDE/>
        <w:autoSpaceDN/>
        <w:bidi w:val="0"/>
        <w:spacing w:line="440" w:lineRule="exact"/>
        <w:ind w:firstLine="452"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rPr>
        <w:t>参加政府采购活动</w:t>
      </w:r>
      <w:r>
        <w:rPr>
          <w:rFonts w:hint="eastAsia" w:ascii="宋体" w:hAnsi="宋体" w:eastAsia="宋体" w:cs="宋体"/>
          <w:b w:val="0"/>
          <w:bCs w:val="0"/>
          <w:color w:val="FF0000"/>
          <w:kern w:val="0"/>
          <w:sz w:val="24"/>
          <w:szCs w:val="24"/>
          <w:highlight w:val="yellow"/>
        </w:rPr>
        <w:t>近</w:t>
      </w:r>
      <w:r>
        <w:rPr>
          <w:rFonts w:hint="eastAsia" w:ascii="宋体" w:hAnsi="宋体" w:eastAsia="宋体" w:cs="宋体"/>
          <w:b w:val="0"/>
          <w:bCs w:val="0"/>
          <w:color w:val="FF0000"/>
          <w:kern w:val="0"/>
          <w:sz w:val="24"/>
          <w:szCs w:val="24"/>
          <w:highlight w:val="yellow"/>
          <w:lang w:val="en-US" w:eastAsia="zh-CN"/>
        </w:rPr>
        <w:t>3</w:t>
      </w:r>
      <w:r>
        <w:rPr>
          <w:rFonts w:hint="eastAsia" w:ascii="宋体" w:hAnsi="宋体" w:eastAsia="宋体" w:cs="宋体"/>
          <w:b w:val="0"/>
          <w:bCs w:val="0"/>
          <w:color w:val="FF0000"/>
          <w:kern w:val="0"/>
          <w:sz w:val="24"/>
          <w:szCs w:val="24"/>
          <w:highlight w:val="yellow"/>
        </w:rPr>
        <w:t>年</w:t>
      </w:r>
      <w:r>
        <w:rPr>
          <w:rFonts w:hint="eastAsia" w:ascii="宋体" w:hAnsi="宋体" w:eastAsia="宋体" w:cs="宋体"/>
          <w:b w:val="0"/>
          <w:bCs w:val="0"/>
          <w:color w:val="auto"/>
          <w:sz w:val="24"/>
          <w:szCs w:val="24"/>
        </w:rPr>
        <w:t>内，在经营活动中没有重大违法记录；</w:t>
      </w:r>
    </w:p>
    <w:p>
      <w:pPr>
        <w:keepNext w:val="0"/>
        <w:keepLines w:val="0"/>
        <w:pageBreakBefore w:val="0"/>
        <w:kinsoku/>
        <w:wordWrap/>
        <w:overflowPunct/>
        <w:topLinePunct w:val="0"/>
        <w:autoSpaceDE/>
        <w:autoSpaceDN/>
        <w:bidi w:val="0"/>
        <w:spacing w:line="440" w:lineRule="exact"/>
        <w:ind w:firstLine="452" w:firstLineChars="200"/>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w:t>
      </w:r>
      <w:r>
        <w:rPr>
          <w:rFonts w:hint="eastAsia" w:ascii="宋体" w:hAnsi="宋体" w:eastAsia="宋体" w:cs="宋体"/>
          <w:b w:val="0"/>
          <w:bCs w:val="0"/>
          <w:color w:val="auto"/>
          <w:kern w:val="0"/>
          <w:sz w:val="24"/>
          <w:szCs w:val="24"/>
        </w:rPr>
        <w:t>投标人不得存在以下不良信用记录情形之一：</w:t>
      </w:r>
    </w:p>
    <w:p>
      <w:pPr>
        <w:keepNext w:val="0"/>
        <w:keepLines w:val="0"/>
        <w:pageBreakBefore w:val="0"/>
        <w:kinsoku/>
        <w:wordWrap/>
        <w:overflowPunct/>
        <w:topLinePunct w:val="0"/>
        <w:autoSpaceDE/>
        <w:autoSpaceDN/>
        <w:bidi w:val="0"/>
        <w:adjustRightInd w:val="0"/>
        <w:snapToGrid w:val="0"/>
        <w:spacing w:before="116" w:beforeLines="40" w:after="116" w:afterLines="40" w:line="440" w:lineRule="exact"/>
        <w:ind w:firstLine="452"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4.1</w:t>
      </w:r>
      <w:r>
        <w:rPr>
          <w:rFonts w:hint="eastAsia" w:ascii="宋体" w:hAnsi="宋体" w:eastAsia="宋体" w:cs="宋体"/>
          <w:b w:val="0"/>
          <w:bCs w:val="0"/>
          <w:color w:val="auto"/>
          <w:kern w:val="0"/>
          <w:sz w:val="24"/>
          <w:szCs w:val="24"/>
        </w:rPr>
        <w:t>、投标人被人民法院列入失信被执行人的（以信用中国www.creditchina.gov.cn、查询结果为准，投标人须提供相关截图证明）。</w:t>
      </w:r>
    </w:p>
    <w:p>
      <w:pPr>
        <w:keepNext w:val="0"/>
        <w:keepLines w:val="0"/>
        <w:pageBreakBefore w:val="0"/>
        <w:kinsoku/>
        <w:wordWrap/>
        <w:overflowPunct/>
        <w:topLinePunct w:val="0"/>
        <w:autoSpaceDE/>
        <w:autoSpaceDN/>
        <w:bidi w:val="0"/>
        <w:adjustRightInd w:val="0"/>
        <w:snapToGrid w:val="0"/>
        <w:spacing w:before="116" w:beforeLines="40" w:after="116" w:afterLines="40" w:line="440" w:lineRule="exact"/>
        <w:ind w:firstLine="452"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4.2</w:t>
      </w:r>
      <w:r>
        <w:rPr>
          <w:rFonts w:hint="eastAsia" w:ascii="宋体" w:hAnsi="宋体" w:eastAsia="宋体" w:cs="宋体"/>
          <w:b w:val="0"/>
          <w:bCs w:val="0"/>
          <w:color w:val="auto"/>
          <w:kern w:val="0"/>
          <w:sz w:val="24"/>
          <w:szCs w:val="24"/>
        </w:rPr>
        <w:t>、投标人被市场监督管理部门列入企业经营异常名录且未被移除的（以国家企业信用信息公示系统http://www.gsxt.gov.cn/index.html查询结果为准，投标人须提供相关截图证明）。</w:t>
      </w:r>
    </w:p>
    <w:p>
      <w:pPr>
        <w:keepNext w:val="0"/>
        <w:keepLines w:val="0"/>
        <w:pageBreakBefore w:val="0"/>
        <w:kinsoku/>
        <w:wordWrap/>
        <w:overflowPunct/>
        <w:topLinePunct w:val="0"/>
        <w:autoSpaceDE/>
        <w:autoSpaceDN/>
        <w:bidi w:val="0"/>
        <w:adjustRightInd w:val="0"/>
        <w:snapToGrid w:val="0"/>
        <w:spacing w:before="116" w:beforeLines="40" w:after="116" w:afterLines="40" w:line="440" w:lineRule="exact"/>
        <w:ind w:firstLine="452"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4.3</w:t>
      </w:r>
      <w:r>
        <w:rPr>
          <w:rFonts w:hint="eastAsia" w:ascii="宋体" w:hAnsi="宋体" w:eastAsia="宋体" w:cs="宋体"/>
          <w:b w:val="0"/>
          <w:bCs w:val="0"/>
          <w:color w:val="auto"/>
          <w:kern w:val="0"/>
          <w:sz w:val="24"/>
          <w:szCs w:val="24"/>
        </w:rPr>
        <w:t>、投标人被税务部门列入重大税收违法案件当事人名单的（以信用中国网www.creditchina.gov.cn查询结果为准，投标人须提供相关截图证明）。</w:t>
      </w:r>
    </w:p>
    <w:p>
      <w:pPr>
        <w:keepNext w:val="0"/>
        <w:keepLines w:val="0"/>
        <w:pageBreakBefore w:val="0"/>
        <w:kinsoku/>
        <w:wordWrap/>
        <w:overflowPunct/>
        <w:topLinePunct w:val="0"/>
        <w:autoSpaceDE/>
        <w:autoSpaceDN/>
        <w:bidi w:val="0"/>
        <w:adjustRightInd w:val="0"/>
        <w:snapToGrid w:val="0"/>
        <w:spacing w:before="116" w:beforeLines="40" w:after="116" w:afterLines="40" w:line="440" w:lineRule="exact"/>
        <w:ind w:firstLine="452"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4.4</w:t>
      </w:r>
      <w:r>
        <w:rPr>
          <w:rFonts w:hint="eastAsia" w:ascii="宋体" w:hAnsi="宋体" w:eastAsia="宋体" w:cs="宋体"/>
          <w:b w:val="0"/>
          <w:bCs w:val="0"/>
          <w:color w:val="auto"/>
          <w:kern w:val="0"/>
          <w:sz w:val="24"/>
          <w:szCs w:val="24"/>
        </w:rPr>
        <w:t>、投标人被政府采购监管部门列入政府采购严重违法失信行为记录名单的（以中国政府采购网</w:t>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HYPERLINK "http://www.ccgp.gov.cn/search/cr/"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http://www.ccgp.gov.cn/search/cr/</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kern w:val="0"/>
          <w:sz w:val="24"/>
          <w:szCs w:val="24"/>
        </w:rPr>
        <w:t>查询结果为准，投标人须提供相关截图证明）。</w:t>
      </w:r>
    </w:p>
    <w:p>
      <w:pPr>
        <w:keepNext w:val="0"/>
        <w:keepLines w:val="0"/>
        <w:pageBreakBefore w:val="0"/>
        <w:kinsoku/>
        <w:wordWrap/>
        <w:overflowPunct/>
        <w:topLinePunct w:val="0"/>
        <w:autoSpaceDE/>
        <w:autoSpaceDN/>
        <w:bidi w:val="0"/>
        <w:adjustRightInd w:val="0"/>
        <w:snapToGrid w:val="0"/>
        <w:spacing w:before="116" w:beforeLines="40" w:after="116" w:afterLines="40" w:line="440" w:lineRule="exact"/>
        <w:ind w:firstLine="452" w:firstLineChars="200"/>
        <w:jc w:val="left"/>
        <w:textAlignment w:val="auto"/>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lang w:val="en-US" w:eastAsia="zh-CN"/>
        </w:rPr>
        <w:t>4.5</w:t>
      </w:r>
      <w:r>
        <w:rPr>
          <w:rFonts w:hint="eastAsia" w:ascii="宋体" w:hAnsi="宋体" w:eastAsia="宋体" w:cs="宋体"/>
          <w:b w:val="0"/>
          <w:bCs w:val="0"/>
          <w:color w:val="auto"/>
          <w:kern w:val="0"/>
          <w:sz w:val="24"/>
          <w:szCs w:val="24"/>
        </w:rPr>
        <w:t>、</w:t>
      </w:r>
      <w:r>
        <w:rPr>
          <w:rFonts w:hint="eastAsia" w:ascii="宋体" w:hAnsi="宋体" w:eastAsia="宋体" w:cs="宋体"/>
          <w:b w:val="0"/>
          <w:bCs w:val="0"/>
          <w:color w:val="FF0000"/>
          <w:kern w:val="0"/>
          <w:sz w:val="24"/>
          <w:szCs w:val="24"/>
          <w:highlight w:val="yellow"/>
        </w:rPr>
        <w:t>近</w:t>
      </w:r>
      <w:r>
        <w:rPr>
          <w:rFonts w:hint="eastAsia" w:ascii="宋体" w:hAnsi="宋体" w:eastAsia="宋体" w:cs="宋体"/>
          <w:b w:val="0"/>
          <w:bCs w:val="0"/>
          <w:color w:val="FF0000"/>
          <w:kern w:val="0"/>
          <w:sz w:val="24"/>
          <w:szCs w:val="24"/>
          <w:highlight w:val="yellow"/>
          <w:lang w:val="en-US" w:eastAsia="zh-CN"/>
        </w:rPr>
        <w:t>3</w:t>
      </w:r>
      <w:r>
        <w:rPr>
          <w:rFonts w:hint="eastAsia" w:ascii="宋体" w:hAnsi="宋体" w:eastAsia="宋体" w:cs="宋体"/>
          <w:b w:val="0"/>
          <w:bCs w:val="0"/>
          <w:color w:val="FF0000"/>
          <w:kern w:val="0"/>
          <w:sz w:val="24"/>
          <w:szCs w:val="24"/>
          <w:highlight w:val="yellow"/>
        </w:rPr>
        <w:t>年内</w:t>
      </w:r>
      <w:r>
        <w:rPr>
          <w:rFonts w:hint="eastAsia" w:ascii="宋体" w:hAnsi="宋体" w:eastAsia="宋体" w:cs="宋体"/>
          <w:b w:val="0"/>
          <w:bCs w:val="0"/>
          <w:color w:val="auto"/>
          <w:kern w:val="0"/>
          <w:sz w:val="24"/>
          <w:szCs w:val="24"/>
        </w:rPr>
        <w:t>（20</w:t>
      </w:r>
      <w:r>
        <w:rPr>
          <w:rFonts w:hint="eastAsia" w:ascii="宋体" w:hAnsi="宋体" w:eastAsia="宋体" w:cs="宋体"/>
          <w:b w:val="0"/>
          <w:bCs w:val="0"/>
          <w:color w:val="auto"/>
          <w:kern w:val="0"/>
          <w:sz w:val="24"/>
          <w:szCs w:val="24"/>
          <w:lang w:val="en-US" w:eastAsia="zh-CN"/>
        </w:rPr>
        <w:t>23</w:t>
      </w:r>
      <w:r>
        <w:rPr>
          <w:rFonts w:hint="eastAsia" w:ascii="宋体" w:hAnsi="宋体" w:eastAsia="宋体" w:cs="宋体"/>
          <w:b w:val="0"/>
          <w:bCs w:val="0"/>
          <w:color w:val="auto"/>
          <w:kern w:val="0"/>
          <w:sz w:val="24"/>
          <w:szCs w:val="24"/>
        </w:rPr>
        <w:t>年1月1日至今）投标人或其法定代表人被人民法院判处行贿罪或被人民检察院/中华人民共和国国家监察委员会列入行贿犯罪档案的（投标人须自行承诺并加盖公章，承诺书内容及格式自拟）。</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（二）、体系认证及保险要求</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  1、投标人具有有效期内的质量管理体系认证证书、环境管理体系认证证书、职业健康安全管理体系认证证书，且认证范围含病人陪护服务。</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 2、购买赔付额不低于50万元的</w:t>
      </w:r>
      <w:r>
        <w:rPr>
          <w:rStyle w:val="9"/>
          <w:rFonts w:hint="eastAsia" w:ascii="宋体" w:hAnsi="宋体" w:eastAsia="宋体" w:cs="宋体"/>
          <w:b w:val="0"/>
          <w:bCs w:val="0"/>
          <w:i w:val="0"/>
          <w:iCs w:val="0"/>
          <w:caps w:val="0"/>
          <w:color w:val="auto"/>
          <w:spacing w:val="0"/>
          <w:kern w:val="0"/>
          <w:sz w:val="24"/>
          <w:szCs w:val="24"/>
          <w:shd w:val="clear" w:fill="FFFFFF"/>
          <w:lang w:val="en-US" w:eastAsia="zh-CN" w:bidi="ar"/>
        </w:rPr>
        <w:t>意外伤害险</w:t>
      </w:r>
      <w:r>
        <w:rPr>
          <w:rFonts w:hint="eastAsia" w:ascii="宋体" w:hAnsi="宋体" w:eastAsia="宋体" w:cs="宋体"/>
          <w:b w:val="0"/>
          <w:bCs w:val="0"/>
          <w:i w:val="0"/>
          <w:iCs w:val="0"/>
          <w:caps w:val="0"/>
          <w:color w:val="auto"/>
          <w:spacing w:val="0"/>
          <w:kern w:val="0"/>
          <w:sz w:val="24"/>
          <w:szCs w:val="24"/>
          <w:shd w:val="clear" w:fill="FFFFFF"/>
          <w:lang w:val="en-US" w:eastAsia="zh-CN" w:bidi="ar"/>
        </w:rPr>
        <w:t>及赔付额不低于20万元的雇主责任险。</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（三）、人员要求</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1、管理人员的要求：</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1.1、项目经理（现场主管）：要求大专及以上学历，护理学、医学或管理学专业优先。持有护士执业资格证书或高级医疗护理员证书。具有3年以上医院陪护管理经验，熟悉医院临床护理流程。</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b w:val="0"/>
          <w:bCs w:val="0"/>
          <w:i w:val="0"/>
          <w:iCs w:val="0"/>
          <w:caps w:val="0"/>
          <w:color w:val="auto"/>
          <w:spacing w:val="0"/>
          <w:sz w:val="24"/>
          <w:szCs w:val="24"/>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1.2、护理员组长/督导：每3层楼需配备1名专职督导员。具有丰富的临床护理、护理员管理经验，持有护士执业资格证书或中级及以上医疗护理员证书，负责每日查房、质量检查及处理突发投诉等。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81"/>
        <w:jc w:val="left"/>
        <w:textAlignment w:val="auto"/>
        <w:rPr>
          <w:rFonts w:hint="eastAsia" w:ascii="宋体" w:hAnsi="宋体" w:eastAsia="宋体" w:cs="宋体"/>
          <w:b/>
          <w:bCs/>
          <w:i w:val="0"/>
          <w:iCs w:val="0"/>
          <w:caps w:val="0"/>
          <w:color w:val="333333"/>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2、从事医疗护理员人员年龄：女性18-55周岁，男性18-60周岁，身心健康（持健康证）；持医疗护理员培训合格证书，服务公司建立人员档案，每年复训考核，离职需及时补员（保证在岗率≥98%）。</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b/>
          <w:bCs/>
          <w:i w:val="0"/>
          <w:iCs w:val="0"/>
          <w:caps w:val="0"/>
          <w:color w:val="auto"/>
          <w:spacing w:val="0"/>
          <w:kern w:val="0"/>
          <w:sz w:val="24"/>
          <w:szCs w:val="24"/>
          <w:shd w:val="clear" w:fill="FFFFFF"/>
          <w:lang w:val="en-US" w:eastAsia="zh-CN" w:bidi="ar"/>
        </w:rPr>
      </w:pPr>
      <w:r>
        <w:rPr>
          <w:rFonts w:hint="eastAsia" w:ascii="宋体" w:hAnsi="宋体" w:eastAsia="宋体" w:cs="宋体"/>
          <w:b/>
          <w:bCs/>
          <w:i w:val="0"/>
          <w:iCs w:val="0"/>
          <w:caps w:val="0"/>
          <w:color w:val="auto"/>
          <w:spacing w:val="0"/>
          <w:kern w:val="0"/>
          <w:sz w:val="24"/>
          <w:szCs w:val="24"/>
          <w:shd w:val="clear" w:fill="FFFFFF"/>
          <w:lang w:val="en-US" w:eastAsia="zh-CN" w:bidi="ar"/>
        </w:rPr>
        <w:t>二、服务模式：</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1.整体化全包干模式：中标方负责提供所有的生活护理员（医疗护理员），并负责他们的招聘、培训、排班、工资发放及日常管理。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2.指导与管理模式：医院护理部负责专业指导，中标方负责生活护理员（医疗护理员）的行政管理和人力调配。    </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52" w:firstLineChars="200"/>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shd w:val="clear" w:fill="FFFFFF"/>
          <w:lang w:val="en-US" w:eastAsia="zh-CN" w:bidi="ar"/>
        </w:rPr>
        <w:t>三、</w:t>
      </w:r>
      <w:r>
        <w:rPr>
          <w:rFonts w:hint="eastAsia" w:ascii="宋体" w:hAnsi="宋体" w:eastAsia="宋体" w:cs="宋体"/>
          <w:b/>
          <w:bCs/>
          <w:i w:val="0"/>
          <w:iCs w:val="0"/>
          <w:caps w:val="0"/>
          <w:color w:val="333333"/>
          <w:spacing w:val="0"/>
          <w:kern w:val="0"/>
          <w:sz w:val="24"/>
          <w:szCs w:val="24"/>
          <w:shd w:val="clear" w:fill="FFFFFF"/>
          <w:lang w:val="en-US" w:eastAsia="zh-CN" w:bidi="ar"/>
        </w:rPr>
        <w:t>服务内容</w:t>
      </w:r>
      <w:r>
        <w:rPr>
          <w:rFonts w:hint="eastAsia" w:ascii="宋体" w:hAnsi="宋体" w:eastAsia="宋体" w:cs="宋体"/>
          <w:i w:val="0"/>
          <w:iCs w:val="0"/>
          <w:caps w:val="0"/>
          <w:color w:val="333333"/>
          <w:spacing w:val="0"/>
          <w:kern w:val="0"/>
          <w:sz w:val="24"/>
          <w:szCs w:val="24"/>
          <w:shd w:val="clear" w:fill="FFFFFF"/>
          <w:lang w:val="en-US" w:eastAsia="zh-CN" w:bidi="ar"/>
        </w:rPr>
        <w:t>：</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1、生活照护：包括但不限于晨晚间护理、口腔清洁、洗头擦浴、饮食照料、排泄护理（更换尿布、协助如厕）、翻身拍背等。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2、陪检运送：负责陪同患者进行各项检查（B超、CT等），急诊、特殊标本送检、急诊取药等。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3、非医疗行为：在护士指导下，协助观察患者病情（如发现异常及时报告护士），但不允许进行任何医疗技术操作（如输液、拔针、吸痰等）。</w:t>
      </w:r>
    </w:p>
    <w:p>
      <w:pPr>
        <w:keepNext w:val="0"/>
        <w:keepLines w:val="0"/>
        <w:pageBreakBefore w:val="0"/>
        <w:kinsoku/>
        <w:wordWrap/>
        <w:overflowPunct/>
        <w:topLinePunct w:val="0"/>
        <w:autoSpaceDE/>
        <w:autoSpaceDN/>
        <w:bidi w:val="0"/>
        <w:adjustRightInd/>
        <w:snapToGrid/>
        <w:spacing w:line="400" w:lineRule="exact"/>
        <w:ind w:firstLine="452" w:firstLineChars="200"/>
        <w:jc w:val="left"/>
        <w:textAlignment w:val="auto"/>
        <w:rPr>
          <w:rFonts w:hint="eastAsia" w:ascii="宋体" w:hAnsi="宋体" w:eastAsia="宋体" w:cs="宋体"/>
          <w:b/>
          <w:bCs/>
          <w:spacing w:val="-10"/>
          <w:sz w:val="24"/>
          <w:szCs w:val="24"/>
          <w:lang w:val="en-US" w:eastAsia="zh-CN"/>
        </w:rPr>
      </w:pPr>
      <w:r>
        <w:rPr>
          <w:rFonts w:hint="eastAsia" w:ascii="宋体" w:hAnsi="宋体" w:eastAsia="宋体" w:cs="宋体"/>
          <w:b/>
          <w:bCs/>
          <w:i w:val="0"/>
          <w:iCs w:val="0"/>
          <w:caps w:val="0"/>
          <w:color w:val="333333"/>
          <w:spacing w:val="0"/>
          <w:kern w:val="0"/>
          <w:sz w:val="24"/>
          <w:szCs w:val="24"/>
          <w:shd w:val="clear" w:fill="FFFFFF"/>
          <w:lang w:val="en-US" w:eastAsia="zh-CN" w:bidi="ar"/>
        </w:rPr>
        <w:t>四、项目期限：</w:t>
      </w:r>
      <w:r>
        <w:rPr>
          <w:rFonts w:hint="eastAsia" w:ascii="宋体" w:hAnsi="宋体" w:eastAsia="宋体" w:cs="宋体"/>
          <w:i w:val="0"/>
          <w:iCs w:val="0"/>
          <w:caps w:val="0"/>
          <w:color w:val="333333"/>
          <w:spacing w:val="0"/>
          <w:kern w:val="0"/>
          <w:sz w:val="24"/>
          <w:szCs w:val="24"/>
          <w:shd w:val="clear" w:fill="FFFFFF"/>
          <w:lang w:val="en-US" w:eastAsia="zh-CN" w:bidi="ar"/>
        </w:rPr>
        <w:t> </w:t>
      </w:r>
      <w:r>
        <w:rPr>
          <w:rFonts w:hint="eastAsia" w:ascii="宋体" w:hAnsi="宋体" w:eastAsia="宋体" w:cs="宋体"/>
          <w:spacing w:val="-11"/>
          <w:sz w:val="24"/>
          <w:szCs w:val="24"/>
          <w:lang w:val="en-US" w:eastAsia="zh-CN"/>
        </w:rPr>
        <w:t>合同期3年，合同一年一签，每年合同期满后询价人对中标人服务进行综合评估，满足要求后续签下一年合同，续签时间不得多于2年；</w:t>
      </w:r>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400" w:lineRule="exact"/>
        <w:ind w:right="0" w:rightChars="0" w:firstLine="452" w:firstLineChars="200"/>
        <w:jc w:val="left"/>
        <w:textAlignment w:val="auto"/>
        <w:rPr>
          <w:rFonts w:hint="eastAsia" w:ascii="宋体" w:hAnsi="宋体" w:eastAsia="宋体" w:cs="宋体"/>
          <w:i w:val="0"/>
          <w:iCs w:val="0"/>
          <w:caps w:val="0"/>
          <w:color w:val="333333"/>
          <w:spacing w:val="0"/>
          <w:kern w:val="0"/>
          <w:sz w:val="24"/>
          <w:szCs w:val="24"/>
          <w:shd w:val="clear" w:fill="FFFFFF"/>
          <w:lang w:val="en-US" w:eastAsia="zh-CN" w:bidi="ar"/>
        </w:rPr>
      </w:pPr>
      <w:r>
        <w:rPr>
          <w:rFonts w:hint="eastAsia" w:ascii="宋体" w:hAnsi="宋体" w:eastAsia="宋体" w:cs="宋体"/>
          <w:b/>
          <w:bCs/>
          <w:i w:val="0"/>
          <w:iCs w:val="0"/>
          <w:caps w:val="0"/>
          <w:color w:val="333333"/>
          <w:spacing w:val="0"/>
          <w:kern w:val="0"/>
          <w:sz w:val="24"/>
          <w:szCs w:val="24"/>
          <w:shd w:val="clear" w:fill="FFFFFF"/>
          <w:lang w:val="en-US" w:eastAsia="zh-CN" w:bidi="ar"/>
        </w:rPr>
        <w:t>五、收费管理</w:t>
      </w:r>
    </w:p>
    <w:p>
      <w:pPr>
        <w:keepNext w:val="0"/>
        <w:keepLines w:val="0"/>
        <w:pageBreakBefore w:val="0"/>
        <w:kinsoku/>
        <w:wordWrap/>
        <w:overflowPunct/>
        <w:topLinePunct w:val="0"/>
        <w:autoSpaceDE/>
        <w:autoSpaceDN/>
        <w:bidi w:val="0"/>
        <w:adjustRightInd/>
        <w:snapToGrid/>
        <w:spacing w:line="400" w:lineRule="exact"/>
        <w:ind w:firstLine="452" w:firstLineChars="200"/>
        <w:textAlignment w:val="auto"/>
        <w:rPr>
          <w:rFonts w:hint="default" w:ascii="宋体" w:hAnsi="宋体" w:eastAsia="宋体" w:cs="宋体"/>
          <w:b/>
          <w:bCs/>
          <w:i w:val="0"/>
          <w:iCs w:val="0"/>
          <w:caps w:val="0"/>
          <w:color w:val="333333"/>
          <w:spacing w:val="0"/>
          <w:kern w:val="0"/>
          <w:sz w:val="24"/>
          <w:szCs w:val="24"/>
          <w:highlight w:val="yellow"/>
          <w:shd w:val="clear" w:fill="FFFFFF"/>
          <w:lang w:val="en-US" w:eastAsia="zh-CN" w:bidi="ar"/>
        </w:rPr>
      </w:pPr>
      <w:r>
        <w:rPr>
          <w:rFonts w:hint="eastAsia" w:ascii="宋体" w:hAnsi="宋体" w:eastAsia="宋体" w:cs="宋体"/>
          <w:i w:val="0"/>
          <w:iCs w:val="0"/>
          <w:caps w:val="0"/>
          <w:color w:val="333333"/>
          <w:spacing w:val="0"/>
          <w:kern w:val="0"/>
          <w:sz w:val="24"/>
          <w:szCs w:val="24"/>
          <w:shd w:val="clear" w:fill="FFFFFF"/>
          <w:lang w:val="en-US" w:eastAsia="zh-CN" w:bidi="ar"/>
        </w:rPr>
        <w:t>1、明确收费标准，并设定下述限价。</w:t>
      </w:r>
      <w:r>
        <w:rPr>
          <w:rFonts w:hint="eastAsia" w:ascii="宋体" w:hAnsi="宋体" w:eastAsia="宋体" w:cs="宋体"/>
          <w:b/>
          <w:bCs/>
          <w:i w:val="0"/>
          <w:iCs w:val="0"/>
          <w:caps w:val="0"/>
          <w:color w:val="333333"/>
          <w:spacing w:val="0"/>
          <w:kern w:val="0"/>
          <w:sz w:val="24"/>
          <w:szCs w:val="24"/>
          <w:highlight w:val="yellow"/>
          <w:shd w:val="clear" w:fill="FFFFFF"/>
          <w:lang w:val="en-US" w:eastAsia="zh-CN" w:bidi="ar"/>
        </w:rPr>
        <w:t>患者类别必须与科室护士长商议确定。</w:t>
      </w:r>
    </w:p>
    <w:tbl>
      <w:tblPr>
        <w:tblStyle w:val="7"/>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1360"/>
        <w:gridCol w:w="4252"/>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序号</w:t>
            </w:r>
          </w:p>
        </w:tc>
        <w:tc>
          <w:tcPr>
            <w:tcW w:w="1360"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患者类别</w:t>
            </w:r>
          </w:p>
        </w:tc>
        <w:tc>
          <w:tcPr>
            <w:tcW w:w="4252"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服务内容</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一对一</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（日最高限价）</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小组式</w:t>
            </w:r>
          </w:p>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（日最高限价）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w:t>
            </w:r>
          </w:p>
        </w:tc>
        <w:tc>
          <w:tcPr>
            <w:tcW w:w="1360"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三级护理</w:t>
            </w:r>
          </w:p>
        </w:tc>
        <w:tc>
          <w:tcPr>
            <w:tcW w:w="4252"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生活基本自理，患者病情稳定</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180</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2</w:t>
            </w:r>
          </w:p>
        </w:tc>
        <w:tc>
          <w:tcPr>
            <w:tcW w:w="1360"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二级护理</w:t>
            </w:r>
          </w:p>
        </w:tc>
        <w:tc>
          <w:tcPr>
            <w:tcW w:w="4252"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生活部分自理，恢复期患者</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190</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3</w:t>
            </w:r>
          </w:p>
        </w:tc>
        <w:tc>
          <w:tcPr>
            <w:tcW w:w="1360"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一级护理</w:t>
            </w:r>
          </w:p>
        </w:tc>
        <w:tc>
          <w:tcPr>
            <w:tcW w:w="4252"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生活基本不能自理，患者病情较重</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200</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4"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4</w:t>
            </w:r>
          </w:p>
        </w:tc>
        <w:tc>
          <w:tcPr>
            <w:tcW w:w="1360"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一级护理（重症）</w:t>
            </w:r>
          </w:p>
        </w:tc>
        <w:tc>
          <w:tcPr>
            <w:tcW w:w="4252"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生活完全不能自理，重症监护患者，鼻饲，造口、二便失禁、气管切开</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220</w:t>
            </w:r>
          </w:p>
        </w:tc>
        <w:tc>
          <w:tcPr>
            <w:tcW w:w="1701" w:type="dxa"/>
            <w:vAlign w:val="center"/>
          </w:tcPr>
          <w:p>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150</w:t>
            </w:r>
          </w:p>
        </w:tc>
      </w:tr>
    </w:tbl>
    <w:p>
      <w:pPr>
        <w:spacing w:line="440" w:lineRule="exact"/>
        <w:rPr>
          <w:rFonts w:hint="eastAsia" w:ascii="宋体" w:hAnsi="宋体" w:eastAsia="宋体" w:cs="宋体"/>
          <w:i w:val="0"/>
          <w:iCs w:val="0"/>
          <w:caps w:val="0"/>
          <w:color w:val="333333"/>
          <w:spacing w:val="0"/>
          <w:kern w:val="0"/>
          <w:sz w:val="24"/>
          <w:szCs w:val="24"/>
          <w:shd w:val="clear" w:fill="FFFFFF"/>
          <w:vertAlign w:val="baseline"/>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注：</w:t>
      </w:r>
    </w:p>
    <w:p>
      <w:pPr>
        <w:keepNext w:val="0"/>
        <w:keepLines w:val="0"/>
        <w:widowControl/>
        <w:numPr>
          <w:ilvl w:val="0"/>
          <w:numId w:val="0"/>
        </w:numPr>
        <w:suppressLineNumbers w:val="0"/>
        <w:shd w:val="clear" w:fill="FFFFFF"/>
        <w:spacing w:before="0" w:beforeAutospacing="0" w:after="0" w:afterAutospacing="0" w:line="23" w:lineRule="atLeast"/>
        <w:ind w:leftChars="200" w:right="0" w:rightChars="0"/>
        <w:jc w:val="left"/>
        <w:rPr>
          <w:rFonts w:hint="default" w:ascii="Arial" w:hAnsi="Arial" w:cs="Arial"/>
          <w:i w:val="0"/>
          <w:iCs w:val="0"/>
          <w:caps w:val="0"/>
          <w:color w:val="333333"/>
          <w:spacing w:val="0"/>
          <w:sz w:val="27"/>
          <w:szCs w:val="27"/>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⑴、上述服务模式由科室护士长</w:t>
      </w:r>
      <w:r>
        <w:rPr>
          <w:rFonts w:hint="eastAsia" w:ascii="宋体" w:hAnsi="宋体" w:eastAsia="宋体" w:cs="宋体"/>
          <w:i w:val="0"/>
          <w:iCs w:val="0"/>
          <w:caps w:val="0"/>
          <w:color w:val="333333"/>
          <w:spacing w:val="0"/>
          <w:kern w:val="0"/>
          <w:sz w:val="24"/>
          <w:szCs w:val="24"/>
          <w:shd w:val="clear" w:fill="FFFFFF"/>
          <w:lang w:val="en-US" w:eastAsia="zh-CN" w:bidi="ar"/>
        </w:rPr>
        <w:t>审核</w:t>
      </w: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书面确定。</w:t>
      </w:r>
      <w:r>
        <w:rPr>
          <w:rFonts w:hint="eastAsia" w:ascii="宋体" w:hAnsi="宋体" w:eastAsia="宋体" w:cs="宋体"/>
          <w:i w:val="0"/>
          <w:iCs w:val="0"/>
          <w:caps w:val="0"/>
          <w:color w:val="333333"/>
          <w:spacing w:val="0"/>
          <w:kern w:val="0"/>
          <w:sz w:val="24"/>
          <w:szCs w:val="24"/>
          <w:shd w:val="clear" w:fill="FFFFFF"/>
          <w:lang w:val="en-US" w:eastAsia="zh-CN" w:bidi="ar"/>
        </w:rPr>
        <w:t>所有的收费明细及服务内涵进行公示，如发生随意更改收费价格，院方可选择责令整改或终止合同。</w:t>
      </w:r>
    </w:p>
    <w:p>
      <w:pPr>
        <w:keepNext w:val="0"/>
        <w:keepLines w:val="0"/>
        <w:widowControl/>
        <w:suppressLineNumbers w:val="0"/>
        <w:shd w:val="clear" w:fill="FFFFFF"/>
        <w:spacing w:before="0" w:beforeAutospacing="0" w:after="0" w:afterAutospacing="0" w:line="23" w:lineRule="atLeast"/>
        <w:ind w:left="0" w:right="0" w:firstLine="452" w:firstLineChars="200"/>
        <w:jc w:val="left"/>
        <w:rPr>
          <w:rFonts w:hint="default" w:ascii="Arial" w:hAnsi="Arial" w:cs="Arial"/>
          <w:i w:val="0"/>
          <w:iCs w:val="0"/>
          <w:caps w:val="0"/>
          <w:color w:val="333333"/>
          <w:spacing w:val="0"/>
          <w:sz w:val="27"/>
          <w:szCs w:val="27"/>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⑵</w:t>
      </w:r>
      <w:r>
        <w:rPr>
          <w:rFonts w:hint="eastAsia" w:ascii="宋体" w:hAnsi="宋体" w:eastAsia="宋体" w:cs="宋体"/>
          <w:i w:val="0"/>
          <w:iCs w:val="0"/>
          <w:caps w:val="0"/>
          <w:color w:val="333333"/>
          <w:spacing w:val="0"/>
          <w:kern w:val="0"/>
          <w:sz w:val="24"/>
          <w:szCs w:val="24"/>
          <w:shd w:val="clear" w:fill="FFFFFF"/>
          <w:lang w:val="en-US" w:eastAsia="zh-CN" w:bidi="ar"/>
        </w:rPr>
        <w:t>、遵守护理员基本操作流程（详见附件1），提供24小时不间断服务。</w:t>
      </w:r>
    </w:p>
    <w:p>
      <w:pPr>
        <w:keepNext w:val="0"/>
        <w:keepLines w:val="0"/>
        <w:widowControl/>
        <w:suppressLineNumbers w:val="0"/>
        <w:shd w:val="clear" w:fill="FFFFFF"/>
        <w:spacing w:before="0" w:beforeAutospacing="0" w:after="0" w:afterAutospacing="0" w:line="23" w:lineRule="atLeast"/>
        <w:ind w:left="0" w:right="0" w:firstLine="452" w:firstLineChars="200"/>
        <w:jc w:val="left"/>
        <w:rPr>
          <w:rFonts w:hint="eastAsia" w:ascii="宋体" w:hAnsi="宋体" w:eastAsia="宋体" w:cs="宋体"/>
          <w:i w:val="0"/>
          <w:iCs w:val="0"/>
          <w:caps w:val="0"/>
          <w:color w:val="333333"/>
          <w:spacing w:val="0"/>
          <w:kern w:val="0"/>
          <w:sz w:val="24"/>
          <w:szCs w:val="24"/>
          <w:shd w:val="clear" w:fill="FFFFFF"/>
          <w:lang w:val="en-US" w:eastAsia="zh-CN" w:bidi="ar"/>
        </w:rPr>
      </w:pPr>
      <w:r>
        <w:rPr>
          <w:rFonts w:hint="eastAsia" w:ascii="宋体" w:hAnsi="宋体" w:eastAsia="宋体" w:cs="宋体"/>
          <w:i w:val="0"/>
          <w:iCs w:val="0"/>
          <w:caps w:val="0"/>
          <w:color w:val="333333"/>
          <w:spacing w:val="0"/>
          <w:kern w:val="0"/>
          <w:sz w:val="24"/>
          <w:szCs w:val="24"/>
          <w:shd w:val="clear" w:fill="FFFFFF"/>
          <w:vertAlign w:val="baseline"/>
          <w:lang w:val="en-US" w:eastAsia="zh-CN" w:bidi="ar"/>
        </w:rPr>
        <w:t>⑶</w:t>
      </w:r>
      <w:r>
        <w:rPr>
          <w:rFonts w:hint="eastAsia" w:ascii="宋体" w:hAnsi="宋体" w:eastAsia="宋体" w:cs="宋体"/>
          <w:i w:val="0"/>
          <w:iCs w:val="0"/>
          <w:caps w:val="0"/>
          <w:color w:val="333333"/>
          <w:spacing w:val="0"/>
          <w:kern w:val="0"/>
          <w:sz w:val="24"/>
          <w:szCs w:val="24"/>
          <w:shd w:val="clear" w:fill="FFFFFF"/>
          <w:lang w:val="en-US" w:eastAsia="zh-CN" w:bidi="ar"/>
        </w:rPr>
        <w:t>、上述报价包含医院管理费</w:t>
      </w:r>
      <w:r>
        <w:rPr>
          <w:rFonts w:hint="eastAsia" w:ascii="宋体" w:hAnsi="宋体" w:eastAsia="宋体" w:cs="宋体"/>
          <w:i w:val="0"/>
          <w:iCs w:val="0"/>
          <w:caps w:val="0"/>
          <w:color w:val="333333"/>
          <w:spacing w:val="0"/>
          <w:kern w:val="0"/>
          <w:sz w:val="24"/>
          <w:szCs w:val="24"/>
          <w:highlight w:val="yellow"/>
          <w:shd w:val="clear" w:fill="FFFFFF"/>
          <w:lang w:val="en-US" w:eastAsia="zh-CN" w:bidi="ar"/>
        </w:rPr>
        <w:t>10%</w:t>
      </w:r>
      <w:r>
        <w:rPr>
          <w:rFonts w:hint="eastAsia" w:ascii="宋体" w:hAnsi="宋体" w:eastAsia="宋体" w:cs="宋体"/>
          <w:i w:val="0"/>
          <w:iCs w:val="0"/>
          <w:caps w:val="0"/>
          <w:color w:val="333333"/>
          <w:spacing w:val="0"/>
          <w:kern w:val="0"/>
          <w:sz w:val="24"/>
          <w:szCs w:val="24"/>
          <w:shd w:val="clear" w:fill="FFFFFF"/>
          <w:lang w:val="en-US" w:eastAsia="zh-CN" w:bidi="ar"/>
        </w:rPr>
        <w:t>，用于服务公司在陪护期间产生的管理费用、能源消耗和科室水电气成本等。</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2、收费方式  所有收费均采用现场患者扫码付费，护理员不得</w:t>
      </w: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私自收费</w:t>
      </w:r>
      <w:r>
        <w:rPr>
          <w:rFonts w:hint="eastAsia" w:ascii="宋体" w:hAnsi="宋体" w:eastAsia="宋体" w:cs="宋体"/>
          <w:b w:val="0"/>
          <w:bCs w:val="0"/>
          <w:i w:val="0"/>
          <w:iCs w:val="0"/>
          <w:caps w:val="0"/>
          <w:color w:val="auto"/>
          <w:spacing w:val="0"/>
          <w:kern w:val="0"/>
          <w:sz w:val="24"/>
          <w:szCs w:val="24"/>
          <w:shd w:val="clear" w:fill="FFFFFF"/>
          <w:lang w:val="en-US" w:eastAsia="zh-CN" w:bidi="ar"/>
        </w:rPr>
        <w:t>，一旦发现，即可辞退或10倍罚款。</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3、护理员收入由中标人按月核算统一发放。</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bCs/>
          <w:i w:val="0"/>
          <w:iCs w:val="0"/>
          <w:caps w:val="0"/>
          <w:color w:val="auto"/>
          <w:spacing w:val="0"/>
          <w:kern w:val="0"/>
          <w:sz w:val="24"/>
          <w:szCs w:val="24"/>
          <w:shd w:val="clear" w:fill="FFFFFF"/>
          <w:lang w:val="en-US" w:eastAsia="zh-CN" w:bidi="ar"/>
        </w:rPr>
      </w:pPr>
      <w:r>
        <w:rPr>
          <w:rFonts w:hint="eastAsia" w:ascii="宋体" w:hAnsi="宋体" w:eastAsia="宋体" w:cs="宋体"/>
          <w:b/>
          <w:bCs/>
          <w:i w:val="0"/>
          <w:iCs w:val="0"/>
          <w:caps w:val="0"/>
          <w:color w:val="auto"/>
          <w:spacing w:val="0"/>
          <w:kern w:val="0"/>
          <w:sz w:val="24"/>
          <w:szCs w:val="24"/>
          <w:shd w:val="clear" w:fill="FFFFFF"/>
          <w:lang w:val="en-US" w:eastAsia="zh-CN" w:bidi="ar"/>
        </w:rPr>
        <w:t>六、服务要求</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highlight w:val="yellow"/>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1、信息化需求（智慧无陪护）</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1.1、服务预约与派工系统：</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⑴、支持患者家属通过小程序/APP线上下单（如：预约陪检、点选特定护理员）。</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⑵、后台支持</w:t>
      </w: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管理人员</w:t>
      </w:r>
      <w:r>
        <w:rPr>
          <w:rFonts w:hint="eastAsia" w:ascii="宋体" w:hAnsi="宋体" w:eastAsia="宋体" w:cs="宋体"/>
          <w:b w:val="0"/>
          <w:bCs w:val="0"/>
          <w:i w:val="0"/>
          <w:iCs w:val="0"/>
          <w:caps w:val="0"/>
          <w:color w:val="auto"/>
          <w:spacing w:val="0"/>
          <w:kern w:val="0"/>
          <w:sz w:val="24"/>
          <w:szCs w:val="24"/>
          <w:shd w:val="clear" w:fill="FFFFFF"/>
          <w:lang w:val="en-US" w:eastAsia="zh-CN" w:bidi="ar"/>
        </w:rPr>
        <w:t>进行智能派单。</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1.2、护理员考勤与定位系统：</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⑴、利用电子工牌或手机APP实现护理员在病区内的打卡管理。</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⑵、实时定位：在陪检过程中，可实时查看护理员和患者的位置（用于防止患者走失）。</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1.3、服务过程追溯（监管系统）：可实施护理员每完成一项服务后（如翻身、喂药协助），可扫码或签字确认（扫描患者腕带或床头码），记录服务时间、服务人员。</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1.4、数据对接：服务公司使用的在线系统能与医院现有的HIS系统（医院信息系统）对接（承诺有该功能，后期根据院方需求是否对接），或者服务公司的APP/小程序开放权限给护理部、病区护士长，便于随时查看护理员工作进度、陪护服务完成情况。</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1.5、财务数据共享：服务公司管理系统开放权限给院方财务管理人员，实时查看服务公司净收益，每月核算，每季度打款完成管理费交付。</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1.6、评价与反馈系统：服务结束后，患者和护士可通过系统对护理员进行综合评价，实现“优胜劣汰”。</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2、满足《滁州市医疗机构陪护工管理办法（试行）》滁卫医【2020】148号文件要求及《天长中医院免陪照护服务考核表》（详见附件2）考评达80分以上。</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3、社保与保险</w:t>
      </w:r>
      <w:r>
        <w:rPr>
          <w:rFonts w:hint="default" w:ascii="宋体" w:hAnsi="宋体" w:eastAsia="宋体" w:cs="宋体"/>
          <w:b w:val="0"/>
          <w:bCs w:val="0"/>
          <w:i w:val="0"/>
          <w:iCs w:val="0"/>
          <w:caps w:val="0"/>
          <w:color w:val="auto"/>
          <w:spacing w:val="0"/>
          <w:kern w:val="0"/>
          <w:sz w:val="24"/>
          <w:szCs w:val="24"/>
          <w:shd w:val="clear" w:fill="FFFFFF"/>
          <w:lang w:val="en-US" w:eastAsia="zh-CN" w:bidi="ar"/>
        </w:rPr>
        <w:t>：购买所有护理员的</w:t>
      </w:r>
      <w:r>
        <w:rPr>
          <w:rFonts w:hint="eastAsia" w:ascii="宋体" w:hAnsi="宋体" w:eastAsia="宋体" w:cs="宋体"/>
          <w:b w:val="0"/>
          <w:bCs w:val="0"/>
          <w:i w:val="0"/>
          <w:iCs w:val="0"/>
          <w:caps w:val="0"/>
          <w:color w:val="auto"/>
          <w:spacing w:val="0"/>
          <w:kern w:val="0"/>
          <w:sz w:val="24"/>
          <w:szCs w:val="24"/>
          <w:shd w:val="clear" w:fill="FFFFFF"/>
          <w:lang w:val="en-US" w:eastAsia="zh-CN" w:bidi="ar"/>
        </w:rPr>
        <w:t>雇主责任险</w:t>
      </w:r>
      <w:r>
        <w:rPr>
          <w:rFonts w:hint="default" w:ascii="宋体" w:hAnsi="宋体" w:eastAsia="宋体" w:cs="宋体"/>
          <w:b w:val="0"/>
          <w:bCs w:val="0"/>
          <w:i w:val="0"/>
          <w:iCs w:val="0"/>
          <w:caps w:val="0"/>
          <w:color w:val="auto"/>
          <w:spacing w:val="0"/>
          <w:kern w:val="0"/>
          <w:sz w:val="24"/>
          <w:szCs w:val="24"/>
          <w:shd w:val="clear" w:fill="FFFFFF"/>
          <w:lang w:val="en-US" w:eastAsia="zh-CN" w:bidi="ar"/>
        </w:rPr>
        <w:t>或</w:t>
      </w:r>
      <w:r>
        <w:rPr>
          <w:rFonts w:hint="eastAsia" w:ascii="宋体" w:hAnsi="宋体" w:eastAsia="宋体" w:cs="宋体"/>
          <w:b w:val="0"/>
          <w:bCs w:val="0"/>
          <w:i w:val="0"/>
          <w:iCs w:val="0"/>
          <w:caps w:val="0"/>
          <w:color w:val="auto"/>
          <w:spacing w:val="0"/>
          <w:kern w:val="0"/>
          <w:sz w:val="24"/>
          <w:szCs w:val="24"/>
          <w:shd w:val="clear" w:fill="FFFFFF"/>
          <w:lang w:val="en-US" w:eastAsia="zh-CN" w:bidi="ar"/>
        </w:rPr>
        <w:t>意外伤害险</w:t>
      </w:r>
      <w:r>
        <w:rPr>
          <w:rFonts w:hint="default" w:ascii="宋体" w:hAnsi="宋体" w:eastAsia="宋体" w:cs="宋体"/>
          <w:b w:val="0"/>
          <w:bCs w:val="0"/>
          <w:i w:val="0"/>
          <w:iCs w:val="0"/>
          <w:caps w:val="0"/>
          <w:color w:val="auto"/>
          <w:spacing w:val="0"/>
          <w:kern w:val="0"/>
          <w:sz w:val="24"/>
          <w:szCs w:val="24"/>
          <w:shd w:val="clear" w:fill="FFFFFF"/>
          <w:lang w:val="en-US" w:eastAsia="zh-CN" w:bidi="ar"/>
        </w:rPr>
        <w:t>保单（承诺中标后购买）。</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4、</w:t>
      </w:r>
      <w:r>
        <w:rPr>
          <w:rFonts w:hint="default" w:ascii="宋体" w:hAnsi="宋体" w:eastAsia="宋体" w:cs="宋体"/>
          <w:b w:val="0"/>
          <w:bCs w:val="0"/>
          <w:i w:val="0"/>
          <w:iCs w:val="0"/>
          <w:caps w:val="0"/>
          <w:color w:val="auto"/>
          <w:spacing w:val="0"/>
          <w:kern w:val="0"/>
          <w:sz w:val="24"/>
          <w:szCs w:val="24"/>
          <w:shd w:val="clear" w:fill="FFFFFF"/>
          <w:lang w:val="en-US" w:eastAsia="zh-CN" w:bidi="ar"/>
        </w:rPr>
        <w:t>护理人员：承诺所有护理人员持有</w:t>
      </w:r>
      <w:r>
        <w:rPr>
          <w:rFonts w:hint="eastAsia" w:ascii="宋体" w:hAnsi="宋体" w:eastAsia="宋体" w:cs="宋体"/>
          <w:b w:val="0"/>
          <w:bCs w:val="0"/>
          <w:i w:val="0"/>
          <w:iCs w:val="0"/>
          <w:caps w:val="0"/>
          <w:color w:val="auto"/>
          <w:spacing w:val="0"/>
          <w:kern w:val="0"/>
          <w:sz w:val="24"/>
          <w:szCs w:val="24"/>
          <w:shd w:val="clear" w:fill="FFFFFF"/>
          <w:lang w:val="en-US" w:eastAsia="zh-CN" w:bidi="ar"/>
        </w:rPr>
        <w:t>健康证，且</w:t>
      </w:r>
      <w:r>
        <w:rPr>
          <w:rFonts w:hint="default" w:ascii="宋体" w:hAnsi="宋体" w:eastAsia="宋体" w:cs="宋体"/>
          <w:b w:val="0"/>
          <w:bCs w:val="0"/>
          <w:i w:val="0"/>
          <w:iCs w:val="0"/>
          <w:caps w:val="0"/>
          <w:color w:val="auto"/>
          <w:spacing w:val="0"/>
          <w:kern w:val="0"/>
          <w:sz w:val="24"/>
          <w:szCs w:val="24"/>
          <w:shd w:val="clear" w:fill="FFFFFF"/>
          <w:lang w:val="en-US" w:eastAsia="zh-CN" w:bidi="ar"/>
        </w:rPr>
        <w:t>持有</w:t>
      </w:r>
      <w:r>
        <w:rPr>
          <w:rFonts w:hint="eastAsia" w:ascii="宋体" w:hAnsi="宋体" w:eastAsia="宋体" w:cs="宋体"/>
          <w:b w:val="0"/>
          <w:bCs w:val="0"/>
          <w:i w:val="0"/>
          <w:iCs w:val="0"/>
          <w:caps w:val="0"/>
          <w:color w:val="auto"/>
          <w:spacing w:val="0"/>
          <w:kern w:val="0"/>
          <w:sz w:val="24"/>
          <w:szCs w:val="24"/>
          <w:shd w:val="clear" w:fill="FFFFFF"/>
          <w:lang w:val="en-US" w:eastAsia="zh-CN" w:bidi="ar"/>
        </w:rPr>
        <w:t>医疗护理员证</w:t>
      </w:r>
      <w:r>
        <w:rPr>
          <w:rFonts w:hint="default" w:ascii="宋体" w:hAnsi="宋体" w:eastAsia="宋体" w:cs="宋体"/>
          <w:b w:val="0"/>
          <w:bCs w:val="0"/>
          <w:i w:val="0"/>
          <w:iCs w:val="0"/>
          <w:caps w:val="0"/>
          <w:color w:val="auto"/>
          <w:spacing w:val="0"/>
          <w:kern w:val="0"/>
          <w:sz w:val="24"/>
          <w:szCs w:val="24"/>
          <w:shd w:val="clear" w:fill="FFFFFF"/>
          <w:lang w:val="en-US" w:eastAsia="zh-CN" w:bidi="ar"/>
        </w:rPr>
        <w:t>或</w:t>
      </w:r>
      <w:r>
        <w:rPr>
          <w:rFonts w:hint="eastAsia" w:ascii="宋体" w:hAnsi="宋体" w:eastAsia="宋体" w:cs="宋体"/>
          <w:b w:val="0"/>
          <w:bCs w:val="0"/>
          <w:i w:val="0"/>
          <w:iCs w:val="0"/>
          <w:caps w:val="0"/>
          <w:color w:val="auto"/>
          <w:spacing w:val="0"/>
          <w:kern w:val="0"/>
          <w:sz w:val="24"/>
          <w:szCs w:val="24"/>
          <w:shd w:val="clear" w:fill="FFFFFF"/>
          <w:lang w:val="en-US" w:eastAsia="zh-CN" w:bidi="ar"/>
        </w:rPr>
        <w:t>养老护理员证</w:t>
      </w:r>
      <w:r>
        <w:rPr>
          <w:rFonts w:hint="default" w:ascii="宋体" w:hAnsi="宋体" w:eastAsia="宋体" w:cs="宋体"/>
          <w:b w:val="0"/>
          <w:bCs w:val="0"/>
          <w:i w:val="0"/>
          <w:iCs w:val="0"/>
          <w:caps w:val="0"/>
          <w:color w:val="auto"/>
          <w:spacing w:val="0"/>
          <w:kern w:val="0"/>
          <w:sz w:val="24"/>
          <w:szCs w:val="24"/>
          <w:shd w:val="clear" w:fill="FFFFFF"/>
          <w:lang w:val="en-US" w:eastAsia="zh-CN" w:bidi="ar"/>
        </w:rPr>
        <w:t>。承诺“一对多（小组制）”服务模式中一个护理员不得同时照护超过</w:t>
      </w:r>
      <w:r>
        <w:rPr>
          <w:rFonts w:hint="eastAsia" w:ascii="宋体" w:hAnsi="宋体" w:eastAsia="宋体" w:cs="宋体"/>
          <w:b w:val="0"/>
          <w:bCs w:val="0"/>
          <w:i w:val="0"/>
          <w:iCs w:val="0"/>
          <w:caps w:val="0"/>
          <w:color w:val="auto"/>
          <w:spacing w:val="0"/>
          <w:kern w:val="0"/>
          <w:sz w:val="24"/>
          <w:szCs w:val="24"/>
          <w:shd w:val="clear" w:fill="FFFFFF"/>
          <w:lang w:val="en-US" w:eastAsia="zh-CN" w:bidi="ar"/>
        </w:rPr>
        <w:t>4</w:t>
      </w:r>
      <w:r>
        <w:rPr>
          <w:rFonts w:hint="default" w:ascii="宋体" w:hAnsi="宋体" w:eastAsia="宋体" w:cs="宋体"/>
          <w:b w:val="0"/>
          <w:bCs w:val="0"/>
          <w:i w:val="0"/>
          <w:iCs w:val="0"/>
          <w:caps w:val="0"/>
          <w:color w:val="auto"/>
          <w:spacing w:val="0"/>
          <w:kern w:val="0"/>
          <w:sz w:val="24"/>
          <w:szCs w:val="24"/>
          <w:shd w:val="clear" w:fill="FFFFFF"/>
          <w:lang w:val="en-US" w:eastAsia="zh-CN" w:bidi="ar"/>
        </w:rPr>
        <w:t>名患者。</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5、</w:t>
      </w:r>
      <w:r>
        <w:rPr>
          <w:rFonts w:hint="default" w:ascii="宋体" w:hAnsi="宋体" w:eastAsia="宋体" w:cs="宋体"/>
          <w:b w:val="0"/>
          <w:bCs w:val="0"/>
          <w:i w:val="0"/>
          <w:iCs w:val="0"/>
          <w:caps w:val="0"/>
          <w:color w:val="auto"/>
          <w:spacing w:val="0"/>
          <w:kern w:val="0"/>
          <w:sz w:val="24"/>
          <w:szCs w:val="24"/>
          <w:shd w:val="clear" w:fill="FFFFFF"/>
          <w:lang w:val="en-US" w:eastAsia="zh-CN" w:bidi="ar"/>
        </w:rPr>
        <w:t>无陪护病房：承诺积极配合院方做好无陪护病房相关工作。</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6、安全责任界定：服务公司雇佣的护理员在岗期间人身安全责任、陪护患者期间因陪护不当造成的纠纷、事故等安全责任赔偿由中标服务公司全权负责。如发生服务公司处理不当，影响院方诊疗秩序或造成名誉、财产损失，院方可选择责令整改或终止合同。</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bCs/>
          <w:i w:val="0"/>
          <w:iCs w:val="0"/>
          <w:caps w:val="0"/>
          <w:color w:val="auto"/>
          <w:spacing w:val="0"/>
          <w:kern w:val="0"/>
          <w:sz w:val="24"/>
          <w:szCs w:val="24"/>
          <w:shd w:val="clear" w:fill="FFFFFF"/>
          <w:lang w:val="en-US" w:eastAsia="zh-CN" w:bidi="ar"/>
        </w:rPr>
      </w:pPr>
      <w:r>
        <w:rPr>
          <w:rFonts w:hint="eastAsia" w:ascii="宋体" w:hAnsi="宋体" w:eastAsia="宋体" w:cs="宋体"/>
          <w:b/>
          <w:bCs/>
          <w:i w:val="0"/>
          <w:iCs w:val="0"/>
          <w:caps w:val="0"/>
          <w:color w:val="auto"/>
          <w:spacing w:val="0"/>
          <w:kern w:val="0"/>
          <w:sz w:val="24"/>
          <w:szCs w:val="24"/>
          <w:shd w:val="clear" w:fill="FFFFFF"/>
          <w:lang w:val="en-US" w:eastAsia="zh-CN" w:bidi="ar"/>
        </w:rPr>
        <w:t>七、投标文件的组成及密封</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7.1投标文件组成（复印件加盖单位公章，证书或合同、评价等原件中标后备查）</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（一）资信证明文件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（1）法定代表人身份证明和本人有效身份证复印件(如委托，则为法定代表人授权委托书和委托代理人有效身份证复印件)；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（2）营业执照副本复印件、组织机构代码证复印件、税务登记证副本复印件（或三证合一的有效证件）；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（3）询价人文件中要求的资信评审所需资料及投标人自主提交的其他资信资料；</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（二）技术文件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w:t>
      </w:r>
      <w:r>
        <w:rPr>
          <w:rFonts w:hint="default" w:ascii="宋体" w:hAnsi="宋体" w:eastAsia="宋体" w:cs="宋体"/>
          <w:b w:val="0"/>
          <w:bCs w:val="0"/>
          <w:i w:val="0"/>
          <w:iCs w:val="0"/>
          <w:caps w:val="0"/>
          <w:color w:val="auto"/>
          <w:spacing w:val="0"/>
          <w:kern w:val="0"/>
          <w:sz w:val="24"/>
          <w:szCs w:val="24"/>
          <w:shd w:val="clear" w:fill="FFFFFF"/>
          <w:lang w:val="en-US" w:eastAsia="zh-CN" w:bidi="ar"/>
        </w:rPr>
        <w:t>服务</w:t>
      </w:r>
      <w:r>
        <w:rPr>
          <w:rFonts w:hint="eastAsia" w:ascii="宋体" w:hAnsi="宋体" w:eastAsia="宋体" w:cs="宋体"/>
          <w:b w:val="0"/>
          <w:bCs w:val="0"/>
          <w:i w:val="0"/>
          <w:iCs w:val="0"/>
          <w:caps w:val="0"/>
          <w:color w:val="auto"/>
          <w:spacing w:val="0"/>
          <w:kern w:val="0"/>
          <w:sz w:val="24"/>
          <w:szCs w:val="24"/>
          <w:shd w:val="clear" w:fill="FFFFFF"/>
          <w:lang w:val="en-US" w:eastAsia="zh-CN" w:bidi="ar"/>
        </w:rPr>
        <w:t>方案部分；</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（2）技术标评审中需要的相关资料及投标人认为需要提供的其他材料。</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（三）投标报价文件</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（1）法定代表人身份证明或授权委托书</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（2）投标函；</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（3）报价清单；</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（4）投标人认为需要提供的其他材料：</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7.2投标文件的密封：</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①投标文件(资信、技术、报价文件可以合并装订，正本1份、副本1份)密封于投标文件档案袋内；</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②投标文件的密封袋封面上标明袋内材料名称、项目名称 、投标人名称及联系方式。</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7.3、投标文件提交的收件人、截止时间及地点</w:t>
      </w: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（建议顺丰快递）</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highlight w:val="yellow"/>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 xml:space="preserve">收件人： 刘荣义13955092279     何开琴  13637023721   </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投标文件提交时间：</w:t>
      </w: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2026年10月19日14：00分（以投递时间为准）</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default" w:ascii="宋体" w:hAnsi="宋体" w:eastAsia="宋体" w:cs="宋体"/>
          <w:b w:val="0"/>
          <w:bCs w:val="0"/>
          <w:i w:val="0"/>
          <w:iCs w:val="0"/>
          <w:caps w:val="0"/>
          <w:color w:val="auto"/>
          <w:spacing w:val="0"/>
          <w:kern w:val="0"/>
          <w:sz w:val="24"/>
          <w:szCs w:val="24"/>
          <w:highlight w:val="yellow"/>
          <w:shd w:val="clear" w:fill="FFFFFF"/>
          <w:lang w:val="en-US" w:eastAsia="zh-CN" w:bidi="ar"/>
        </w:rPr>
      </w:pPr>
      <w:r>
        <w:rPr>
          <w:rFonts w:hint="eastAsia" w:ascii="宋体" w:hAnsi="宋体" w:eastAsia="宋体" w:cs="宋体"/>
          <w:b w:val="0"/>
          <w:bCs w:val="0"/>
          <w:i w:val="0"/>
          <w:iCs w:val="0"/>
          <w:caps w:val="0"/>
          <w:color w:val="auto"/>
          <w:spacing w:val="0"/>
          <w:kern w:val="0"/>
          <w:sz w:val="24"/>
          <w:szCs w:val="24"/>
          <w:highlight w:val="yellow"/>
          <w:shd w:val="clear" w:fill="FFFFFF"/>
          <w:lang w:val="en-US" w:eastAsia="zh-CN" w:bidi="ar"/>
        </w:rPr>
        <w:t xml:space="preserve">投标文件提交截止时间：2026年10月 19日 14：00分 </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快递地点：安徽省天长市中医院（天长市天宁大道222号）；</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投标提交时间以后递交的投标文件，将被拒绝并退回给投标人或按照无效标处理。</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7.4、开标时间及地点</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开标时间：2026年10月21 日（暂定投标提交时间后7个工作日内）</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地  点：天长市中医院会议室；</w:t>
      </w:r>
      <w:bookmarkStart w:id="1" w:name="_GoBack"/>
      <w:bookmarkEnd w:id="1"/>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bCs/>
          <w:i w:val="0"/>
          <w:iCs w:val="0"/>
          <w:caps w:val="0"/>
          <w:color w:val="auto"/>
          <w:spacing w:val="0"/>
          <w:kern w:val="0"/>
          <w:sz w:val="24"/>
          <w:szCs w:val="24"/>
          <w:shd w:val="clear" w:fill="FFFFFF"/>
          <w:lang w:val="en-US" w:eastAsia="zh-CN" w:bidi="ar"/>
        </w:rPr>
        <w:t xml:space="preserve">八、评标方式   </w:t>
      </w:r>
      <w:r>
        <w:rPr>
          <w:rFonts w:hint="eastAsia" w:ascii="宋体" w:hAnsi="宋体" w:eastAsia="宋体" w:cs="宋体"/>
          <w:b w:val="0"/>
          <w:bCs w:val="0"/>
          <w:i w:val="0"/>
          <w:iCs w:val="0"/>
          <w:caps w:val="0"/>
          <w:color w:val="auto"/>
          <w:spacing w:val="0"/>
          <w:kern w:val="0"/>
          <w:sz w:val="24"/>
          <w:szCs w:val="24"/>
          <w:shd w:val="clear" w:fill="FFFFFF"/>
          <w:lang w:val="en-US" w:eastAsia="zh-CN" w:bidi="ar"/>
        </w:rPr>
        <w:t xml:space="preserve">  </w:t>
      </w:r>
      <w:bookmarkStart w:id="0" w:name="_Toc465896095"/>
    </w:p>
    <w:bookmarkEnd w:id="0"/>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 本次评标采用综合评分法</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1）综合评分法是指在最大限度地满足询价人文件实质性要求前提下，按照询价人文件中规定的各项因素进行综合评审后，以评标总得分最高的投标人作为中标候选人或中标人的评标方法。</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2）以下评标委员会工作由评标小组完成；</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2．评标程序</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2.1投标文件的初审</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2.1.1资格性检查（复印件加盖企业公章，中标后核验原件）</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796"/>
        <w:gridCol w:w="3384"/>
        <w:gridCol w:w="3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8" w:type="dxa"/>
            <w:noWrap w:val="0"/>
            <w:vAlign w:val="center"/>
          </w:tcPr>
          <w:p>
            <w:pPr>
              <w:rPr>
                <w:sz w:val="24"/>
              </w:rPr>
            </w:pPr>
            <w:r>
              <w:rPr>
                <w:sz w:val="24"/>
              </w:rPr>
              <w:t>序号</w:t>
            </w:r>
          </w:p>
        </w:tc>
        <w:tc>
          <w:tcPr>
            <w:tcW w:w="5180" w:type="dxa"/>
            <w:gridSpan w:val="2"/>
            <w:noWrap w:val="0"/>
            <w:vAlign w:val="center"/>
          </w:tcPr>
          <w:p>
            <w:pPr>
              <w:ind w:firstLine="452" w:firstLineChars="200"/>
              <w:rPr>
                <w:sz w:val="24"/>
              </w:rPr>
            </w:pPr>
            <w:r>
              <w:rPr>
                <w:sz w:val="24"/>
              </w:rPr>
              <w:t>审查因素</w:t>
            </w:r>
          </w:p>
        </w:tc>
        <w:tc>
          <w:tcPr>
            <w:tcW w:w="3386" w:type="dxa"/>
            <w:noWrap w:val="0"/>
            <w:vAlign w:val="center"/>
          </w:tcPr>
          <w:p>
            <w:pPr>
              <w:ind w:firstLine="452" w:firstLineChars="200"/>
              <w:rPr>
                <w:sz w:val="24"/>
              </w:rPr>
            </w:pPr>
            <w:r>
              <w:rPr>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28" w:type="dxa"/>
            <w:noWrap w:val="0"/>
            <w:vAlign w:val="center"/>
          </w:tcPr>
          <w:p>
            <w:pPr>
              <w:ind w:firstLine="452" w:firstLineChars="200"/>
              <w:jc w:val="center"/>
              <w:rPr>
                <w:sz w:val="24"/>
              </w:rPr>
            </w:pPr>
            <w:r>
              <w:rPr>
                <w:sz w:val="24"/>
              </w:rPr>
              <w:t>1</w:t>
            </w:r>
          </w:p>
        </w:tc>
        <w:tc>
          <w:tcPr>
            <w:tcW w:w="1796" w:type="dxa"/>
            <w:noWrap w:val="0"/>
            <w:vAlign w:val="center"/>
          </w:tcPr>
          <w:p>
            <w:pPr>
              <w:rPr>
                <w:sz w:val="24"/>
              </w:rPr>
            </w:pPr>
            <w:r>
              <w:rPr>
                <w:sz w:val="24"/>
              </w:rPr>
              <w:t>要求</w:t>
            </w:r>
          </w:p>
        </w:tc>
        <w:tc>
          <w:tcPr>
            <w:tcW w:w="3384" w:type="dxa"/>
            <w:noWrap w:val="0"/>
            <w:vAlign w:val="top"/>
          </w:tcPr>
          <w:p>
            <w:pPr>
              <w:spacing w:line="400" w:lineRule="exact"/>
              <w:rPr>
                <w:sz w:val="24"/>
              </w:rPr>
            </w:pPr>
            <w:r>
              <w:rPr>
                <w:sz w:val="24"/>
              </w:rPr>
              <w:t>法定代表人身份证明和本人身份证（</w:t>
            </w:r>
            <w:r>
              <w:rPr>
                <w:rFonts w:hint="eastAsia"/>
                <w:sz w:val="24"/>
              </w:rPr>
              <w:t>如委托，则为</w:t>
            </w:r>
            <w:r>
              <w:rPr>
                <w:sz w:val="24"/>
              </w:rPr>
              <w:t>授权委托书和委托代理人身份证）</w:t>
            </w:r>
          </w:p>
        </w:tc>
        <w:tc>
          <w:tcPr>
            <w:tcW w:w="3386" w:type="dxa"/>
            <w:noWrap w:val="0"/>
            <w:vAlign w:val="center"/>
          </w:tcPr>
          <w:p>
            <w:pPr>
              <w:ind w:firstLine="565" w:firstLineChars="250"/>
              <w:rPr>
                <w:rFonts w:hint="eastAsia"/>
                <w:sz w:val="24"/>
              </w:rPr>
            </w:pPr>
            <w:r>
              <w:rPr>
                <w:sz w:val="24"/>
              </w:rPr>
              <w:t>核验</w:t>
            </w:r>
            <w:r>
              <w:rPr>
                <w:rFonts w:hint="eastAsia"/>
                <w:sz w:val="24"/>
                <w:lang w:val="en-US" w:eastAsia="zh-CN"/>
              </w:rPr>
              <w:t>复印</w:t>
            </w:r>
            <w:r>
              <w:rPr>
                <w:sz w:val="24"/>
              </w:rPr>
              <w:t>件</w:t>
            </w:r>
            <w:r>
              <w:rPr>
                <w:rFonts w:hint="eastAsia"/>
                <w:sz w:val="24"/>
              </w:rPr>
              <w:t>（扫描件）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28" w:type="dxa"/>
            <w:noWrap w:val="0"/>
            <w:vAlign w:val="center"/>
          </w:tcPr>
          <w:p>
            <w:pPr>
              <w:ind w:firstLine="452" w:firstLineChars="200"/>
              <w:rPr>
                <w:color w:val="auto"/>
                <w:sz w:val="24"/>
              </w:rPr>
            </w:pPr>
            <w:r>
              <w:rPr>
                <w:color w:val="auto"/>
                <w:sz w:val="24"/>
              </w:rPr>
              <w:t>2</w:t>
            </w:r>
          </w:p>
        </w:tc>
        <w:tc>
          <w:tcPr>
            <w:tcW w:w="1796" w:type="dxa"/>
            <w:noWrap w:val="0"/>
            <w:vAlign w:val="center"/>
          </w:tcPr>
          <w:p>
            <w:pPr>
              <w:spacing w:line="400" w:lineRule="exact"/>
              <w:rPr>
                <w:color w:val="auto"/>
                <w:sz w:val="24"/>
              </w:rPr>
            </w:pPr>
            <w:r>
              <w:rPr>
                <w:color w:val="auto"/>
                <w:sz w:val="24"/>
              </w:rPr>
              <w:t>投标人应符合的基本资格条件</w:t>
            </w:r>
          </w:p>
        </w:tc>
        <w:tc>
          <w:tcPr>
            <w:tcW w:w="3384" w:type="dxa"/>
            <w:noWrap w:val="0"/>
            <w:vAlign w:val="center"/>
          </w:tcPr>
          <w:p>
            <w:pPr>
              <w:spacing w:line="400" w:lineRule="exact"/>
              <w:rPr>
                <w:color w:val="auto"/>
                <w:sz w:val="24"/>
              </w:rPr>
            </w:pPr>
            <w:r>
              <w:rPr>
                <w:color w:val="auto"/>
                <w:sz w:val="24"/>
              </w:rPr>
              <w:t>具有独立承担民事责任的能力</w:t>
            </w:r>
          </w:p>
        </w:tc>
        <w:tc>
          <w:tcPr>
            <w:tcW w:w="3386" w:type="dxa"/>
            <w:noWrap w:val="0"/>
            <w:vAlign w:val="center"/>
          </w:tcPr>
          <w:p>
            <w:pPr>
              <w:spacing w:line="400" w:lineRule="exact"/>
              <w:rPr>
                <w:color w:val="auto"/>
                <w:sz w:val="24"/>
              </w:rPr>
            </w:pPr>
            <w:r>
              <w:rPr>
                <w:color w:val="auto"/>
                <w:sz w:val="24"/>
              </w:rPr>
              <w:t>投标人有效的营业执照（或三证合一的有效证件）（核验复印件）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828" w:type="dxa"/>
            <w:noWrap w:val="0"/>
            <w:vAlign w:val="center"/>
          </w:tcPr>
          <w:p>
            <w:pPr>
              <w:ind w:firstLine="452" w:firstLineChars="200"/>
              <w:rPr>
                <w:color w:val="auto"/>
                <w:sz w:val="24"/>
              </w:rPr>
            </w:pPr>
            <w:r>
              <w:rPr>
                <w:color w:val="auto"/>
                <w:sz w:val="24"/>
              </w:rPr>
              <w:t>3</w:t>
            </w:r>
          </w:p>
        </w:tc>
        <w:tc>
          <w:tcPr>
            <w:tcW w:w="1796" w:type="dxa"/>
            <w:noWrap w:val="0"/>
            <w:vAlign w:val="center"/>
          </w:tcPr>
          <w:p>
            <w:pPr>
              <w:rPr>
                <w:color w:val="auto"/>
                <w:sz w:val="24"/>
                <w:highlight w:val="yellow"/>
              </w:rPr>
            </w:pPr>
            <w:r>
              <w:rPr>
                <w:color w:val="auto"/>
                <w:sz w:val="24"/>
                <w:highlight w:val="yellow"/>
              </w:rPr>
              <w:t>其他重要要求</w:t>
            </w:r>
          </w:p>
        </w:tc>
        <w:tc>
          <w:tcPr>
            <w:tcW w:w="6770" w:type="dxa"/>
            <w:gridSpan w:val="2"/>
            <w:noWrap w:val="0"/>
            <w:vAlign w:val="center"/>
          </w:tcPr>
          <w:p>
            <w:pPr>
              <w:ind w:firstLine="452" w:firstLineChars="200"/>
              <w:rPr>
                <w:color w:val="auto"/>
                <w:sz w:val="24"/>
                <w:highlight w:val="yellow"/>
              </w:rPr>
            </w:pPr>
            <w:r>
              <w:rPr>
                <w:color w:val="auto"/>
                <w:sz w:val="24"/>
                <w:highlight w:val="yellow"/>
              </w:rPr>
              <w:t>法定代表人（或其委托代理人）</w:t>
            </w:r>
            <w:r>
              <w:rPr>
                <w:rFonts w:hint="eastAsia"/>
                <w:color w:val="auto"/>
                <w:sz w:val="24"/>
                <w:highlight w:val="yellow"/>
                <w:lang w:val="en-US" w:eastAsia="zh-CN"/>
              </w:rPr>
              <w:t>不</w:t>
            </w:r>
            <w:r>
              <w:rPr>
                <w:color w:val="auto"/>
                <w:sz w:val="24"/>
                <w:highlight w:val="yellow"/>
              </w:rPr>
              <w:t>须参加开标会议。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9394" w:type="dxa"/>
            <w:gridSpan w:val="4"/>
            <w:noWrap w:val="0"/>
            <w:vAlign w:val="center"/>
          </w:tcPr>
          <w:p>
            <w:pPr>
              <w:spacing w:line="400" w:lineRule="exact"/>
              <w:ind w:firstLine="452" w:firstLineChars="200"/>
              <w:rPr>
                <w:color w:val="auto"/>
                <w:sz w:val="24"/>
              </w:rPr>
            </w:pPr>
            <w:r>
              <w:rPr>
                <w:color w:val="auto"/>
                <w:sz w:val="24"/>
              </w:rPr>
              <w:t>说明：</w:t>
            </w:r>
          </w:p>
          <w:p>
            <w:pPr>
              <w:spacing w:line="400" w:lineRule="exact"/>
              <w:ind w:firstLine="452" w:firstLineChars="200"/>
              <w:rPr>
                <w:color w:val="auto"/>
                <w:sz w:val="24"/>
              </w:rPr>
            </w:pPr>
            <w:r>
              <w:rPr>
                <w:color w:val="auto"/>
                <w:sz w:val="24"/>
              </w:rPr>
              <w:t>以上内容有一项不合格的，资格审查按不合格处理，资格审查不合格的，不得参加下一阶段的开标。</w:t>
            </w:r>
          </w:p>
        </w:tc>
      </w:tr>
    </w:tbl>
    <w:p>
      <w:pPr>
        <w:spacing w:line="400" w:lineRule="exact"/>
        <w:ind w:firstLine="452" w:firstLineChars="200"/>
        <w:jc w:val="left"/>
        <w:rPr>
          <w:rFonts w:ascii="宋体" w:hAnsi="宋体"/>
          <w:sz w:val="24"/>
        </w:rPr>
      </w:pPr>
      <w:r>
        <w:rPr>
          <w:rFonts w:ascii="宋体" w:hAnsi="宋体"/>
          <w:sz w:val="24"/>
        </w:rPr>
        <w:t xml:space="preserve"> 2.1.2符合性检查。</w:t>
      </w:r>
    </w:p>
    <w:tbl>
      <w:tblPr>
        <w:tblStyle w:val="6"/>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780"/>
        <w:gridCol w:w="2640"/>
        <w:gridCol w:w="4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1" w:type="dxa"/>
            <w:noWrap w:val="0"/>
            <w:vAlign w:val="center"/>
          </w:tcPr>
          <w:p>
            <w:pPr>
              <w:spacing w:line="500" w:lineRule="exact"/>
              <w:jc w:val="center"/>
              <w:rPr>
                <w:rFonts w:ascii="宋体" w:hAnsi="宋体" w:cs="宋体"/>
                <w:sz w:val="24"/>
              </w:rPr>
            </w:pPr>
            <w:r>
              <w:rPr>
                <w:rFonts w:ascii="宋体" w:hAnsi="宋体" w:cs="宋体"/>
                <w:sz w:val="24"/>
              </w:rPr>
              <w:t>序号</w:t>
            </w:r>
          </w:p>
        </w:tc>
        <w:tc>
          <w:tcPr>
            <w:tcW w:w="3420" w:type="dxa"/>
            <w:gridSpan w:val="2"/>
            <w:noWrap w:val="0"/>
            <w:vAlign w:val="center"/>
          </w:tcPr>
          <w:p>
            <w:pPr>
              <w:spacing w:line="500" w:lineRule="exact"/>
              <w:jc w:val="center"/>
              <w:rPr>
                <w:rFonts w:ascii="宋体" w:hAnsi="宋体" w:cs="宋体"/>
                <w:sz w:val="24"/>
              </w:rPr>
            </w:pPr>
            <w:r>
              <w:rPr>
                <w:rFonts w:ascii="宋体" w:hAnsi="宋体" w:cs="宋体"/>
                <w:sz w:val="24"/>
              </w:rPr>
              <w:t>审查因素</w:t>
            </w:r>
          </w:p>
        </w:tc>
        <w:tc>
          <w:tcPr>
            <w:tcW w:w="4784" w:type="dxa"/>
            <w:noWrap w:val="0"/>
            <w:vAlign w:val="center"/>
          </w:tcPr>
          <w:p>
            <w:pPr>
              <w:spacing w:line="500" w:lineRule="exact"/>
              <w:jc w:val="center"/>
              <w:rPr>
                <w:rFonts w:ascii="宋体" w:hAnsi="宋体" w:cs="宋体"/>
                <w:sz w:val="24"/>
              </w:rPr>
            </w:pPr>
            <w:r>
              <w:rPr>
                <w:rFonts w:ascii="宋体" w:hAnsi="宋体" w:cs="宋体"/>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01" w:type="dxa"/>
            <w:vMerge w:val="restart"/>
            <w:noWrap w:val="0"/>
            <w:vAlign w:val="center"/>
          </w:tcPr>
          <w:p>
            <w:pPr>
              <w:spacing w:line="500" w:lineRule="exact"/>
              <w:jc w:val="center"/>
              <w:rPr>
                <w:rFonts w:ascii="宋体" w:hAnsi="宋体"/>
                <w:sz w:val="24"/>
              </w:rPr>
            </w:pPr>
            <w:r>
              <w:rPr>
                <w:rFonts w:ascii="宋体" w:hAnsi="宋体"/>
                <w:sz w:val="24"/>
              </w:rPr>
              <w:t>1</w:t>
            </w:r>
          </w:p>
        </w:tc>
        <w:tc>
          <w:tcPr>
            <w:tcW w:w="780" w:type="dxa"/>
            <w:vMerge w:val="restart"/>
            <w:tcBorders>
              <w:top w:val="single" w:color="auto" w:sz="4" w:space="0"/>
            </w:tcBorders>
            <w:noWrap w:val="0"/>
            <w:vAlign w:val="center"/>
          </w:tcPr>
          <w:p>
            <w:pPr>
              <w:spacing w:line="360" w:lineRule="exact"/>
              <w:rPr>
                <w:rFonts w:ascii="宋体" w:hAnsi="宋体" w:cs="仿宋_GB2312"/>
                <w:sz w:val="24"/>
                <w:lang w:val="zh-CN"/>
              </w:rPr>
            </w:pPr>
            <w:r>
              <w:rPr>
                <w:rFonts w:ascii="宋体" w:hAnsi="宋体" w:cs="仿宋_GB2312"/>
                <w:sz w:val="24"/>
                <w:lang w:val="zh-CN"/>
              </w:rPr>
              <w:t>标书的有效 性</w:t>
            </w:r>
          </w:p>
        </w:tc>
        <w:tc>
          <w:tcPr>
            <w:tcW w:w="2640" w:type="dxa"/>
            <w:tcBorders>
              <w:top w:val="single" w:color="auto" w:sz="4" w:space="0"/>
            </w:tcBorders>
            <w:noWrap w:val="0"/>
            <w:vAlign w:val="center"/>
          </w:tcPr>
          <w:p>
            <w:pPr>
              <w:spacing w:line="360" w:lineRule="exact"/>
              <w:rPr>
                <w:rFonts w:ascii="宋体" w:hAnsi="宋体" w:cs="仿宋_GB2312"/>
                <w:sz w:val="24"/>
                <w:lang w:val="zh-CN"/>
              </w:rPr>
            </w:pPr>
            <w:r>
              <w:rPr>
                <w:rFonts w:ascii="宋体" w:hAnsi="宋体" w:cs="仿宋_GB2312"/>
                <w:sz w:val="24"/>
                <w:lang w:val="zh-CN"/>
              </w:rPr>
              <w:t>（1）投标文件签署</w:t>
            </w:r>
          </w:p>
        </w:tc>
        <w:tc>
          <w:tcPr>
            <w:tcW w:w="4784" w:type="dxa"/>
            <w:noWrap w:val="0"/>
            <w:vAlign w:val="center"/>
          </w:tcPr>
          <w:p>
            <w:pPr>
              <w:spacing w:line="360" w:lineRule="exact"/>
              <w:rPr>
                <w:rFonts w:ascii="宋体" w:hAnsi="宋体" w:cs="仿宋_GB2312"/>
                <w:sz w:val="24"/>
                <w:lang w:val="zh-CN"/>
              </w:rPr>
            </w:pPr>
            <w:r>
              <w:rPr>
                <w:rFonts w:ascii="宋体" w:hAnsi="宋体" w:cs="仿宋_GB2312"/>
                <w:sz w:val="24"/>
                <w:lang w:val="zh-CN"/>
              </w:rPr>
              <w:t>签字、盖章符合要求。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01" w:type="dxa"/>
            <w:vMerge w:val="continue"/>
            <w:noWrap w:val="0"/>
            <w:vAlign w:val="center"/>
          </w:tcPr>
          <w:p>
            <w:pPr>
              <w:spacing w:line="500" w:lineRule="exact"/>
              <w:jc w:val="center"/>
              <w:rPr>
                <w:rFonts w:ascii="宋体" w:hAnsi="宋体"/>
                <w:sz w:val="24"/>
              </w:rPr>
            </w:pPr>
          </w:p>
        </w:tc>
        <w:tc>
          <w:tcPr>
            <w:tcW w:w="780" w:type="dxa"/>
            <w:vMerge w:val="continue"/>
            <w:noWrap w:val="0"/>
            <w:vAlign w:val="center"/>
          </w:tcPr>
          <w:p>
            <w:pPr>
              <w:spacing w:line="360" w:lineRule="exact"/>
              <w:rPr>
                <w:rFonts w:ascii="宋体" w:hAnsi="宋体" w:cs="仿宋_GB2312"/>
                <w:sz w:val="24"/>
                <w:lang w:val="zh-CN"/>
              </w:rPr>
            </w:pPr>
          </w:p>
        </w:tc>
        <w:tc>
          <w:tcPr>
            <w:tcW w:w="2640" w:type="dxa"/>
            <w:tcBorders>
              <w:top w:val="nil"/>
              <w:bottom w:val="single" w:color="auto" w:sz="4" w:space="0"/>
            </w:tcBorders>
            <w:noWrap w:val="0"/>
            <w:vAlign w:val="center"/>
          </w:tcPr>
          <w:p>
            <w:pPr>
              <w:spacing w:line="360" w:lineRule="exact"/>
              <w:rPr>
                <w:rFonts w:ascii="宋体" w:hAnsi="宋体" w:cs="仿宋_GB2312"/>
                <w:sz w:val="24"/>
                <w:lang w:val="zh-CN"/>
              </w:rPr>
            </w:pPr>
            <w:r>
              <w:rPr>
                <w:rFonts w:ascii="宋体" w:hAnsi="宋体" w:cs="仿宋_GB2312"/>
                <w:sz w:val="24"/>
                <w:lang w:val="zh-CN"/>
              </w:rPr>
              <w:t>（2）投标方案</w:t>
            </w:r>
          </w:p>
        </w:tc>
        <w:tc>
          <w:tcPr>
            <w:tcW w:w="4784" w:type="dxa"/>
            <w:noWrap w:val="0"/>
            <w:vAlign w:val="center"/>
          </w:tcPr>
          <w:p>
            <w:pPr>
              <w:spacing w:line="360" w:lineRule="exact"/>
              <w:rPr>
                <w:rFonts w:ascii="宋体" w:hAnsi="宋体" w:cs="宋体"/>
                <w:sz w:val="24"/>
              </w:rPr>
            </w:pPr>
            <w:r>
              <w:rPr>
                <w:rFonts w:ascii="宋体" w:hAnsi="宋体" w:cs="仿宋_GB2312"/>
                <w:sz w:val="24"/>
                <w:lang w:val="zh-CN"/>
              </w:rPr>
              <w:t>只能有一个方案投标。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01" w:type="dxa"/>
            <w:vMerge w:val="continue"/>
            <w:noWrap w:val="0"/>
            <w:vAlign w:val="center"/>
          </w:tcPr>
          <w:p>
            <w:pPr>
              <w:spacing w:line="500" w:lineRule="exact"/>
              <w:jc w:val="center"/>
              <w:rPr>
                <w:rFonts w:ascii="宋体" w:hAnsi="宋体"/>
                <w:sz w:val="24"/>
              </w:rPr>
            </w:pPr>
          </w:p>
        </w:tc>
        <w:tc>
          <w:tcPr>
            <w:tcW w:w="780" w:type="dxa"/>
            <w:vMerge w:val="continue"/>
            <w:noWrap w:val="0"/>
            <w:vAlign w:val="center"/>
          </w:tcPr>
          <w:p>
            <w:pPr>
              <w:spacing w:line="360" w:lineRule="exact"/>
              <w:rPr>
                <w:rFonts w:ascii="宋体" w:hAnsi="宋体" w:cs="仿宋_GB2312"/>
                <w:sz w:val="24"/>
                <w:lang w:val="zh-CN"/>
              </w:rPr>
            </w:pPr>
          </w:p>
        </w:tc>
        <w:tc>
          <w:tcPr>
            <w:tcW w:w="2640" w:type="dxa"/>
            <w:tcBorders>
              <w:top w:val="nil"/>
              <w:bottom w:val="single" w:color="auto" w:sz="4" w:space="0"/>
            </w:tcBorders>
            <w:noWrap w:val="0"/>
            <w:vAlign w:val="center"/>
          </w:tcPr>
          <w:p>
            <w:pPr>
              <w:spacing w:line="360" w:lineRule="exact"/>
              <w:rPr>
                <w:rFonts w:ascii="宋体" w:hAnsi="宋体" w:cs="仿宋_GB2312"/>
                <w:sz w:val="24"/>
                <w:lang w:val="zh-CN"/>
              </w:rPr>
            </w:pPr>
            <w:r>
              <w:rPr>
                <w:rFonts w:ascii="宋体" w:hAnsi="宋体"/>
                <w:sz w:val="24"/>
              </w:rPr>
              <w:t>（3）报价唯一</w:t>
            </w:r>
          </w:p>
        </w:tc>
        <w:tc>
          <w:tcPr>
            <w:tcW w:w="4784" w:type="dxa"/>
            <w:noWrap w:val="0"/>
            <w:vAlign w:val="center"/>
          </w:tcPr>
          <w:p>
            <w:pPr>
              <w:spacing w:line="360" w:lineRule="exact"/>
              <w:rPr>
                <w:rFonts w:ascii="宋体" w:hAnsi="宋体" w:cs="宋体"/>
                <w:sz w:val="24"/>
              </w:rPr>
            </w:pPr>
            <w:r>
              <w:rPr>
                <w:rFonts w:ascii="宋体" w:hAnsi="宋体" w:cs="仿宋_GB2312"/>
                <w:sz w:val="24"/>
                <w:lang w:val="zh-CN"/>
              </w:rPr>
              <w:t>只能在限价范围内报价，</w:t>
            </w:r>
            <w:r>
              <w:rPr>
                <w:rFonts w:ascii="宋体" w:hAnsi="宋体"/>
                <w:sz w:val="24"/>
              </w:rPr>
              <w:t>只能有一个有效报价，不得提交选择性报价。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01" w:type="dxa"/>
            <w:vMerge w:val="continue"/>
            <w:noWrap w:val="0"/>
            <w:vAlign w:val="center"/>
          </w:tcPr>
          <w:p>
            <w:pPr>
              <w:spacing w:line="500" w:lineRule="exact"/>
              <w:jc w:val="center"/>
              <w:rPr>
                <w:rFonts w:ascii="宋体" w:hAnsi="宋体"/>
                <w:sz w:val="24"/>
              </w:rPr>
            </w:pPr>
          </w:p>
        </w:tc>
        <w:tc>
          <w:tcPr>
            <w:tcW w:w="780" w:type="dxa"/>
            <w:vMerge w:val="continue"/>
            <w:noWrap w:val="0"/>
            <w:vAlign w:val="center"/>
          </w:tcPr>
          <w:p>
            <w:pPr>
              <w:spacing w:line="360" w:lineRule="exact"/>
              <w:rPr>
                <w:rFonts w:ascii="宋体" w:hAnsi="宋体" w:cs="仿宋_GB2312"/>
                <w:sz w:val="24"/>
                <w:lang w:val="zh-CN"/>
              </w:rPr>
            </w:pPr>
          </w:p>
        </w:tc>
        <w:tc>
          <w:tcPr>
            <w:tcW w:w="2640" w:type="dxa"/>
            <w:tcBorders>
              <w:top w:val="single" w:color="auto" w:sz="4" w:space="0"/>
              <w:bottom w:val="single" w:color="auto" w:sz="4" w:space="0"/>
            </w:tcBorders>
            <w:noWrap w:val="0"/>
            <w:vAlign w:val="center"/>
          </w:tcPr>
          <w:p>
            <w:pPr>
              <w:spacing w:line="360" w:lineRule="exact"/>
              <w:rPr>
                <w:rFonts w:ascii="宋体" w:hAnsi="宋体"/>
                <w:sz w:val="24"/>
              </w:rPr>
            </w:pPr>
            <w:r>
              <w:rPr>
                <w:rFonts w:ascii="宋体" w:hAnsi="宋体"/>
                <w:sz w:val="24"/>
              </w:rPr>
              <w:t xml:space="preserve"> (4) 投标文件的有效期</w:t>
            </w:r>
          </w:p>
        </w:tc>
        <w:tc>
          <w:tcPr>
            <w:tcW w:w="4784" w:type="dxa"/>
            <w:noWrap w:val="0"/>
            <w:vAlign w:val="center"/>
          </w:tcPr>
          <w:p>
            <w:pPr>
              <w:spacing w:line="360" w:lineRule="exact"/>
              <w:rPr>
                <w:rFonts w:ascii="宋体" w:hAnsi="宋体" w:cs="仿宋_GB2312"/>
                <w:sz w:val="24"/>
                <w:lang w:val="zh-CN"/>
              </w:rPr>
            </w:pPr>
            <w:r>
              <w:rPr>
                <w:rFonts w:ascii="宋体" w:hAnsi="宋体" w:cs="仿宋_GB2312"/>
                <w:sz w:val="24"/>
                <w:lang w:val="zh-CN"/>
              </w:rPr>
              <w:t>完全响应。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trPr>
        <w:tc>
          <w:tcPr>
            <w:tcW w:w="801" w:type="dxa"/>
            <w:vMerge w:val="restart"/>
            <w:noWrap w:val="0"/>
            <w:vAlign w:val="center"/>
          </w:tcPr>
          <w:p>
            <w:pPr>
              <w:spacing w:line="500" w:lineRule="exact"/>
              <w:jc w:val="center"/>
              <w:rPr>
                <w:rFonts w:ascii="宋体" w:hAnsi="宋体"/>
                <w:sz w:val="24"/>
              </w:rPr>
            </w:pPr>
            <w:r>
              <w:rPr>
                <w:rFonts w:ascii="宋体" w:hAnsi="宋体"/>
                <w:sz w:val="24"/>
              </w:rPr>
              <w:t>2</w:t>
            </w:r>
          </w:p>
        </w:tc>
        <w:tc>
          <w:tcPr>
            <w:tcW w:w="780" w:type="dxa"/>
            <w:vMerge w:val="restart"/>
            <w:noWrap w:val="0"/>
            <w:vAlign w:val="center"/>
          </w:tcPr>
          <w:p>
            <w:pPr>
              <w:spacing w:line="360" w:lineRule="exact"/>
              <w:rPr>
                <w:rFonts w:ascii="宋体" w:hAnsi="宋体" w:cs="仿宋_GB2312"/>
                <w:sz w:val="24"/>
                <w:lang w:val="zh-CN"/>
              </w:rPr>
            </w:pPr>
            <w:r>
              <w:rPr>
                <w:rFonts w:ascii="宋体" w:hAnsi="宋体" w:cs="仿宋_GB2312"/>
                <w:sz w:val="24"/>
                <w:lang w:val="zh-CN"/>
              </w:rPr>
              <w:t>标书的完整 性</w:t>
            </w:r>
          </w:p>
        </w:tc>
        <w:tc>
          <w:tcPr>
            <w:tcW w:w="2640" w:type="dxa"/>
            <w:noWrap w:val="0"/>
            <w:vAlign w:val="center"/>
          </w:tcPr>
          <w:p>
            <w:pPr>
              <w:spacing w:line="360" w:lineRule="exact"/>
              <w:rPr>
                <w:rFonts w:ascii="宋体" w:hAnsi="宋体" w:cs="宋体"/>
                <w:sz w:val="24"/>
              </w:rPr>
            </w:pPr>
            <w:r>
              <w:rPr>
                <w:rFonts w:ascii="宋体" w:hAnsi="宋体" w:cs="仿宋_GB2312"/>
                <w:sz w:val="24"/>
                <w:lang w:val="zh-CN"/>
              </w:rPr>
              <w:t>（5）投标文件份数</w:t>
            </w:r>
          </w:p>
        </w:tc>
        <w:tc>
          <w:tcPr>
            <w:tcW w:w="4784" w:type="dxa"/>
            <w:noWrap w:val="0"/>
            <w:vAlign w:val="center"/>
          </w:tcPr>
          <w:p>
            <w:pPr>
              <w:spacing w:line="360" w:lineRule="exact"/>
              <w:rPr>
                <w:rFonts w:ascii="宋体" w:hAnsi="宋体" w:cs="宋体"/>
                <w:color w:val="FF0000"/>
                <w:sz w:val="24"/>
              </w:rPr>
            </w:pPr>
            <w:r>
              <w:rPr>
                <w:rFonts w:ascii="宋体" w:hAnsi="宋体" w:cs="仿宋_GB2312"/>
                <w:color w:val="auto"/>
                <w:sz w:val="24"/>
                <w:lang w:val="zh-CN"/>
              </w:rPr>
              <w:t>投标文件正本一份，副本</w:t>
            </w:r>
            <w:r>
              <w:rPr>
                <w:rFonts w:hint="eastAsia" w:ascii="宋体" w:hAnsi="宋体" w:cs="仿宋_GB2312"/>
                <w:color w:val="auto"/>
                <w:sz w:val="24"/>
              </w:rPr>
              <w:t>一</w:t>
            </w:r>
            <w:r>
              <w:rPr>
                <w:rFonts w:ascii="宋体" w:hAnsi="宋体" w:cs="仿宋_GB2312"/>
                <w:color w:val="auto"/>
                <w:sz w:val="24"/>
                <w:lang w:val="zh-CN"/>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trPr>
        <w:tc>
          <w:tcPr>
            <w:tcW w:w="801" w:type="dxa"/>
            <w:vMerge w:val="continue"/>
            <w:noWrap w:val="0"/>
            <w:vAlign w:val="center"/>
          </w:tcPr>
          <w:p>
            <w:pPr>
              <w:spacing w:line="500" w:lineRule="exact"/>
              <w:jc w:val="center"/>
              <w:rPr>
                <w:rFonts w:ascii="宋体" w:hAnsi="宋体"/>
                <w:sz w:val="24"/>
              </w:rPr>
            </w:pPr>
          </w:p>
        </w:tc>
        <w:tc>
          <w:tcPr>
            <w:tcW w:w="780" w:type="dxa"/>
            <w:vMerge w:val="continue"/>
            <w:noWrap w:val="0"/>
            <w:vAlign w:val="center"/>
          </w:tcPr>
          <w:p>
            <w:pPr>
              <w:spacing w:line="360" w:lineRule="exact"/>
              <w:rPr>
                <w:rFonts w:ascii="宋体" w:hAnsi="宋体" w:cs="仿宋_GB2312"/>
                <w:sz w:val="24"/>
                <w:lang w:val="zh-CN"/>
              </w:rPr>
            </w:pPr>
          </w:p>
        </w:tc>
        <w:tc>
          <w:tcPr>
            <w:tcW w:w="2640" w:type="dxa"/>
            <w:noWrap w:val="0"/>
            <w:vAlign w:val="center"/>
          </w:tcPr>
          <w:p>
            <w:pPr>
              <w:spacing w:line="360" w:lineRule="exact"/>
              <w:rPr>
                <w:rFonts w:ascii="宋体" w:hAnsi="宋体" w:cs="仿宋_GB2312"/>
                <w:sz w:val="24"/>
                <w:lang w:val="zh-CN"/>
              </w:rPr>
            </w:pPr>
            <w:r>
              <w:rPr>
                <w:rFonts w:ascii="宋体" w:hAnsi="宋体" w:cs="仿宋_GB2312"/>
                <w:sz w:val="24"/>
                <w:lang w:val="zh-CN"/>
              </w:rPr>
              <w:t>（6）投标文件形式内容</w:t>
            </w:r>
          </w:p>
        </w:tc>
        <w:tc>
          <w:tcPr>
            <w:tcW w:w="4784" w:type="dxa"/>
            <w:noWrap w:val="0"/>
            <w:vAlign w:val="center"/>
          </w:tcPr>
          <w:p>
            <w:pPr>
              <w:spacing w:line="360" w:lineRule="exact"/>
              <w:rPr>
                <w:rFonts w:ascii="宋体" w:hAnsi="宋体" w:cs="仿宋_GB2312"/>
                <w:sz w:val="24"/>
                <w:lang w:val="zh-CN"/>
              </w:rPr>
            </w:pPr>
            <w:r>
              <w:rPr>
                <w:rFonts w:ascii="宋体" w:hAnsi="宋体" w:cs="仿宋_GB2312"/>
                <w:sz w:val="24"/>
                <w:lang w:val="zh-CN"/>
              </w:rPr>
              <w:t>投标文件内容清晰、齐全无遗漏。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6" w:hRule="atLeast"/>
        </w:trPr>
        <w:tc>
          <w:tcPr>
            <w:tcW w:w="801" w:type="dxa"/>
            <w:noWrap w:val="0"/>
            <w:vAlign w:val="center"/>
          </w:tcPr>
          <w:p>
            <w:pPr>
              <w:spacing w:line="500" w:lineRule="exact"/>
              <w:jc w:val="center"/>
              <w:rPr>
                <w:rFonts w:ascii="宋体" w:hAnsi="宋体"/>
                <w:sz w:val="24"/>
              </w:rPr>
            </w:pPr>
            <w:r>
              <w:rPr>
                <w:rFonts w:ascii="宋体" w:hAnsi="宋体"/>
                <w:sz w:val="24"/>
              </w:rPr>
              <w:t>3</w:t>
            </w:r>
          </w:p>
        </w:tc>
        <w:tc>
          <w:tcPr>
            <w:tcW w:w="3420" w:type="dxa"/>
            <w:gridSpan w:val="2"/>
            <w:noWrap w:val="0"/>
            <w:vAlign w:val="center"/>
          </w:tcPr>
          <w:p>
            <w:pPr>
              <w:spacing w:line="360" w:lineRule="exact"/>
              <w:rPr>
                <w:rFonts w:ascii="宋体" w:hAnsi="宋体" w:cs="仿宋_GB2312"/>
                <w:sz w:val="24"/>
                <w:lang w:val="zh-CN"/>
              </w:rPr>
            </w:pPr>
            <w:r>
              <w:rPr>
                <w:rFonts w:ascii="宋体" w:hAnsi="宋体" w:cs="仿宋_GB2312"/>
                <w:sz w:val="24"/>
                <w:lang w:val="zh-CN"/>
              </w:rPr>
              <w:t>标书的响应程度</w:t>
            </w:r>
          </w:p>
        </w:tc>
        <w:tc>
          <w:tcPr>
            <w:tcW w:w="4784" w:type="dxa"/>
            <w:noWrap w:val="0"/>
            <w:vAlign w:val="center"/>
          </w:tcPr>
          <w:p>
            <w:pPr>
              <w:spacing w:line="360" w:lineRule="exact"/>
              <w:rPr>
                <w:rFonts w:ascii="宋体" w:hAnsi="宋体" w:cs="仿宋_GB2312"/>
                <w:sz w:val="24"/>
                <w:lang w:val="zh-CN"/>
              </w:rPr>
            </w:pPr>
            <w:r>
              <w:rPr>
                <w:rFonts w:ascii="宋体" w:hAnsi="宋体" w:cs="仿宋_GB2312"/>
                <w:sz w:val="24"/>
                <w:lang w:val="zh-CN"/>
              </w:rPr>
              <w:t>实质性的技术、商务条款</w:t>
            </w:r>
            <w:r>
              <w:rPr>
                <w:rFonts w:hint="eastAsia" w:ascii="宋体" w:hAnsi="宋体" w:cs="仿宋_GB2312"/>
                <w:sz w:val="24"/>
                <w:lang w:val="en-US" w:eastAsia="zh-CN"/>
              </w:rPr>
              <w:t>需</w:t>
            </w:r>
            <w:r>
              <w:rPr>
                <w:rFonts w:ascii="宋体" w:hAnsi="宋体" w:cs="仿宋_GB2312"/>
                <w:sz w:val="24"/>
                <w:lang w:val="zh-CN"/>
              </w:rPr>
              <w:t>完全响应</w:t>
            </w:r>
            <w:r>
              <w:rPr>
                <w:rFonts w:hint="eastAsia" w:ascii="宋体" w:hAnsi="宋体" w:cs="仿宋_GB2312"/>
                <w:sz w:val="24"/>
                <w:lang w:val="zh-CN"/>
              </w:rPr>
              <w:t>，</w:t>
            </w:r>
            <w:r>
              <w:rPr>
                <w:rFonts w:hint="eastAsia" w:ascii="宋体" w:hAnsi="宋体" w:cs="仿宋_GB2312"/>
                <w:sz w:val="24"/>
                <w:lang w:val="en-US" w:eastAsia="zh-CN"/>
              </w:rPr>
              <w:t>否则为废标</w:t>
            </w:r>
            <w:r>
              <w:rPr>
                <w:rFonts w:ascii="宋体" w:hAnsi="宋体" w:cs="仿宋_GB2312"/>
                <w:sz w:val="24"/>
                <w:lang w:val="zh-CN"/>
              </w:rPr>
              <w:t>。</w:t>
            </w:r>
          </w:p>
        </w:tc>
      </w:tr>
    </w:tbl>
    <w:p>
      <w:pPr>
        <w:spacing w:line="400" w:lineRule="exact"/>
        <w:ind w:firstLine="452" w:firstLineChars="200"/>
        <w:jc w:val="left"/>
        <w:rPr>
          <w:rFonts w:ascii="宋体" w:hAnsi="宋体"/>
          <w:sz w:val="24"/>
        </w:rPr>
      </w:pPr>
      <w:r>
        <w:rPr>
          <w:rFonts w:ascii="宋体" w:hAnsi="宋体"/>
          <w:sz w:val="24"/>
        </w:rPr>
        <w:t>2.2比较与评价</w:t>
      </w:r>
    </w:p>
    <w:p>
      <w:pPr>
        <w:spacing w:line="400" w:lineRule="exact"/>
        <w:ind w:firstLine="452" w:firstLineChars="200"/>
        <w:jc w:val="left"/>
        <w:rPr>
          <w:rFonts w:ascii="宋体" w:hAnsi="宋体"/>
          <w:sz w:val="24"/>
        </w:rPr>
      </w:pPr>
      <w:r>
        <w:rPr>
          <w:rFonts w:ascii="宋体" w:hAnsi="宋体"/>
          <w:sz w:val="24"/>
        </w:rPr>
        <w:t>2.</w:t>
      </w:r>
      <w:r>
        <w:rPr>
          <w:rFonts w:hint="eastAsia" w:ascii="宋体" w:hAnsi="宋体"/>
          <w:sz w:val="24"/>
          <w:lang w:val="en-US" w:eastAsia="zh-CN"/>
        </w:rPr>
        <w:t>2</w:t>
      </w:r>
      <w:r>
        <w:rPr>
          <w:rFonts w:ascii="宋体" w:hAnsi="宋体"/>
          <w:sz w:val="24"/>
        </w:rPr>
        <w:t>.1按</w:t>
      </w:r>
      <w:r>
        <w:rPr>
          <w:rFonts w:hint="eastAsia" w:ascii="宋体" w:hAnsi="宋体"/>
          <w:sz w:val="24"/>
          <w:lang w:eastAsia="zh-CN"/>
        </w:rPr>
        <w:t>询价人</w:t>
      </w:r>
      <w:r>
        <w:rPr>
          <w:rFonts w:ascii="宋体" w:hAnsi="宋体"/>
          <w:sz w:val="24"/>
        </w:rPr>
        <w:t>文件中规定的评标方法和标准，对资格性检查和符合性检查合格的投标文件进行商务和技术评估，综合比较与评价。</w:t>
      </w:r>
    </w:p>
    <w:p>
      <w:pPr>
        <w:spacing w:line="400" w:lineRule="exact"/>
        <w:ind w:firstLine="452" w:firstLineChars="200"/>
        <w:jc w:val="left"/>
        <w:rPr>
          <w:rFonts w:ascii="宋体" w:hAnsi="宋体"/>
          <w:sz w:val="24"/>
        </w:rPr>
      </w:pPr>
      <w:r>
        <w:rPr>
          <w:rFonts w:ascii="宋体" w:hAnsi="宋体"/>
          <w:sz w:val="24"/>
        </w:rPr>
        <w:t>2.4推荐中标候选人名单</w:t>
      </w:r>
    </w:p>
    <w:p>
      <w:pPr>
        <w:keepNext w:val="0"/>
        <w:keepLines w:val="0"/>
        <w:pageBreakBefore w:val="0"/>
        <w:widowControl/>
        <w:suppressLineNumbers w:val="0"/>
        <w:shd w:val="clear" w:fill="FFFFFF"/>
        <w:kinsoku/>
        <w:wordWrap/>
        <w:overflowPunct/>
        <w:topLinePunct w:val="0"/>
        <w:autoSpaceDE/>
        <w:autoSpaceDN/>
        <w:bidi w:val="0"/>
        <w:spacing w:before="0" w:beforeAutospacing="0" w:after="0" w:afterAutospacing="0" w:line="440" w:lineRule="exact"/>
        <w:ind w:left="0" w:right="0" w:firstLine="481"/>
        <w:jc w:val="left"/>
        <w:textAlignment w:val="auto"/>
        <w:rPr>
          <w:rFonts w:hint="eastAsia" w:ascii="宋体" w:hAnsi="宋体" w:eastAsia="宋体" w:cs="宋体"/>
          <w:b w:val="0"/>
          <w:bCs w:val="0"/>
          <w:i w:val="0"/>
          <w:iCs w:val="0"/>
          <w:caps w:val="0"/>
          <w:color w:val="auto"/>
          <w:spacing w:val="0"/>
          <w:kern w:val="0"/>
          <w:sz w:val="24"/>
          <w:szCs w:val="24"/>
          <w:shd w:val="clear" w:fill="FFFFFF"/>
          <w:lang w:val="en-US" w:eastAsia="zh-CN" w:bidi="ar"/>
        </w:rPr>
      </w:pPr>
      <w:r>
        <w:rPr>
          <w:rFonts w:hint="eastAsia" w:ascii="宋体" w:hAnsi="宋体" w:eastAsia="宋体" w:cs="宋体"/>
          <w:b w:val="0"/>
          <w:bCs w:val="0"/>
          <w:i w:val="0"/>
          <w:iCs w:val="0"/>
          <w:caps w:val="0"/>
          <w:color w:val="auto"/>
          <w:spacing w:val="0"/>
          <w:kern w:val="0"/>
          <w:sz w:val="24"/>
          <w:szCs w:val="24"/>
          <w:shd w:val="clear" w:fill="FFFFFF"/>
          <w:lang w:val="en-US" w:eastAsia="zh-CN" w:bidi="ar"/>
        </w:rPr>
        <w:t>3、评分办法及标准</w:t>
      </w:r>
    </w:p>
    <w:p>
      <w:pPr>
        <w:spacing w:line="440" w:lineRule="exact"/>
        <w:ind w:firstLine="339" w:firstLineChars="150"/>
        <w:rPr>
          <w:rFonts w:ascii="宋体"/>
          <w:sz w:val="24"/>
        </w:rPr>
      </w:pPr>
      <w:r>
        <w:rPr>
          <w:rFonts w:hint="eastAsia" w:ascii="宋体"/>
          <w:b/>
          <w:sz w:val="24"/>
          <w:lang w:val="en-US" w:eastAsia="zh-CN"/>
        </w:rPr>
        <w:t>3</w:t>
      </w:r>
      <w:r>
        <w:rPr>
          <w:rFonts w:ascii="宋体"/>
          <w:b/>
          <w:sz w:val="24"/>
        </w:rPr>
        <w:t>.1资信标评审细则（</w:t>
      </w:r>
      <w:r>
        <w:rPr>
          <w:rFonts w:hint="eastAsia" w:ascii="宋体"/>
          <w:b/>
          <w:sz w:val="24"/>
          <w:lang w:val="en-US" w:eastAsia="zh-CN"/>
        </w:rPr>
        <w:t>28</w:t>
      </w:r>
      <w:r>
        <w:rPr>
          <w:rFonts w:ascii="宋体"/>
          <w:b/>
          <w:sz w:val="24"/>
        </w:rPr>
        <w:t>分）</w:t>
      </w:r>
    </w:p>
    <w:tbl>
      <w:tblPr>
        <w:tblStyle w:val="6"/>
        <w:tblW w:w="102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28"/>
        <w:gridCol w:w="981"/>
        <w:gridCol w:w="1095"/>
        <w:gridCol w:w="4380"/>
        <w:gridCol w:w="2265"/>
        <w:gridCol w:w="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序号</w:t>
            </w:r>
          </w:p>
        </w:tc>
        <w:tc>
          <w:tcPr>
            <w:tcW w:w="1109"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评分因素</w:t>
            </w: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评审标准</w:t>
            </w:r>
          </w:p>
        </w:tc>
        <w:tc>
          <w:tcPr>
            <w:tcW w:w="226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40" w:lineRule="atLeast"/>
              <w:jc w:val="center"/>
              <w:rPr>
                <w:rFonts w:ascii="宋体" w:hAnsi="宋体"/>
                <w:color w:val="000000"/>
                <w:szCs w:val="21"/>
              </w:rPr>
            </w:pPr>
          </w:p>
          <w:p>
            <w:pPr>
              <w:adjustRightInd w:val="0"/>
              <w:snapToGrid w:val="0"/>
              <w:spacing w:line="240" w:lineRule="atLeast"/>
              <w:jc w:val="center"/>
              <w:rPr>
                <w:rFonts w:ascii="宋体" w:hAnsi="宋体"/>
                <w:color w:val="000000"/>
                <w:szCs w:val="21"/>
              </w:rPr>
            </w:pPr>
            <w:r>
              <w:rPr>
                <w:rFonts w:ascii="宋体" w:hAnsi="宋体"/>
                <w:color w:val="000000"/>
                <w:szCs w:val="21"/>
              </w:rPr>
              <w:t>提供材料</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blHeader/>
          <w:jc w:val="center"/>
        </w:trPr>
        <w:tc>
          <w:tcPr>
            <w:tcW w:w="662" w:type="dxa"/>
            <w:tcBorders>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rPr>
              <w:t>1</w:t>
            </w:r>
          </w:p>
        </w:tc>
        <w:tc>
          <w:tcPr>
            <w:tcW w:w="1109" w:type="dxa"/>
            <w:gridSpan w:val="2"/>
            <w:tcBorders>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rPr>
              <w:t>业绩</w:t>
            </w: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投标人2023年1月1日至今完成具有三甲医院类似项目供货业绩单项合同金额30万元（含）以上的服装采购项目供货合同，每提供一份得2.0分。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本项目满分9.0，加满为止。</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注：合同应能反映相关信息，上述日期以签约的日期为准；</w:t>
            </w:r>
          </w:p>
        </w:tc>
        <w:tc>
          <w:tcPr>
            <w:tcW w:w="226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40" w:lineRule="atLeast"/>
              <w:jc w:val="left"/>
              <w:rPr>
                <w:rFonts w:hint="eastAsia" w:ascii="宋体" w:hAnsi="宋体"/>
                <w:color w:val="000000"/>
                <w:szCs w:val="21"/>
              </w:rPr>
            </w:pPr>
            <w:r>
              <w:rPr>
                <w:rFonts w:ascii="宋体" w:hAnsi="宋体"/>
                <w:color w:val="000000"/>
                <w:szCs w:val="21"/>
              </w:rPr>
              <w:t>提供供货合同</w:t>
            </w:r>
            <w:r>
              <w:rPr>
                <w:rFonts w:hint="eastAsia" w:ascii="宋体" w:hAnsi="宋体"/>
                <w:color w:val="000000"/>
                <w:szCs w:val="21"/>
                <w:lang w:val="en-US" w:eastAsia="zh-CN"/>
              </w:rPr>
              <w:t>扫描件</w:t>
            </w:r>
            <w:r>
              <w:rPr>
                <w:rFonts w:ascii="宋体" w:hAnsi="宋体"/>
                <w:color w:val="000000"/>
                <w:szCs w:val="21"/>
              </w:rPr>
              <w:t>，原件备查；</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lang w:val="en-US" w:eastAsia="zh-CN"/>
              </w:rPr>
              <w:t>6</w:t>
            </w:r>
            <w:r>
              <w:rPr>
                <w:rFonts w:hint="eastAsia" w:ascii="宋体" w:hAnsi="宋体"/>
                <w:color w:val="00000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2</w:t>
            </w:r>
          </w:p>
        </w:tc>
        <w:tc>
          <w:tcPr>
            <w:tcW w:w="1109"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default" w:ascii="Arial" w:hAnsi="Arial" w:cs="Arial"/>
                <w:i w:val="0"/>
                <w:iCs w:val="0"/>
                <w:caps w:val="0"/>
                <w:color w:val="333333"/>
                <w:spacing w:val="0"/>
                <w:sz w:val="24"/>
                <w:szCs w:val="24"/>
                <w:shd w:val="clear" w:fill="FFFFFF"/>
              </w:rPr>
              <w:t>用户</w:t>
            </w:r>
            <w:r>
              <w:rPr>
                <w:rStyle w:val="9"/>
                <w:rFonts w:hint="eastAsia" w:ascii="宋体" w:hAnsi="宋体" w:eastAsia="宋体" w:cs="宋体"/>
                <w:b w:val="0"/>
                <w:bCs w:val="0"/>
                <w:i w:val="0"/>
                <w:iCs w:val="0"/>
                <w:caps w:val="0"/>
                <w:color w:val="333333"/>
                <w:spacing w:val="0"/>
                <w:sz w:val="24"/>
                <w:szCs w:val="24"/>
                <w:shd w:val="clear" w:fill="FFFFFF"/>
              </w:rPr>
              <w:t>评价</w:t>
            </w: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投标人在医院陪护类项目服务过程中获得甲方服务优秀评价的，每有一个得2分，最高得4分。（须提供优秀评价证明扫描件）</w:t>
            </w:r>
            <w:r>
              <w:rPr>
                <w:rFonts w:hint="eastAsia" w:asciiTheme="minorHAnsi" w:hAnsiTheme="minorHAnsi" w:eastAsiaTheme="minorEastAsia" w:cstheme="minorBidi"/>
                <w:b w:val="0"/>
                <w:bCs w:val="0"/>
                <w:color w:val="auto"/>
                <w:kern w:val="2"/>
                <w:sz w:val="21"/>
                <w:szCs w:val="24"/>
                <w:lang w:val="en-US" w:eastAsia="zh-CN" w:bidi="ar-SA"/>
              </w:rPr>
              <w:t xml:space="preserve">                                                   </w:t>
            </w:r>
          </w:p>
        </w:tc>
        <w:tc>
          <w:tcPr>
            <w:tcW w:w="226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40" w:lineRule="atLeast"/>
              <w:jc w:val="both"/>
              <w:rPr>
                <w:rFonts w:ascii="宋体" w:hAnsi="宋体"/>
                <w:color w:val="000000"/>
                <w:szCs w:val="21"/>
              </w:rPr>
            </w:pPr>
            <w:r>
              <w:rPr>
                <w:rFonts w:ascii="宋体" w:hAnsi="宋体"/>
                <w:color w:val="000000"/>
                <w:szCs w:val="21"/>
              </w:rPr>
              <w:t>提供</w:t>
            </w:r>
            <w:r>
              <w:rPr>
                <w:rFonts w:hint="eastAsia" w:ascii="宋体" w:hAnsi="宋体"/>
                <w:color w:val="000000"/>
                <w:szCs w:val="21"/>
                <w:lang w:val="en-US" w:eastAsia="zh-CN"/>
              </w:rPr>
              <w:t>客户扫描件，</w:t>
            </w:r>
            <w:r>
              <w:rPr>
                <w:rFonts w:ascii="宋体" w:hAnsi="宋体"/>
                <w:color w:val="000000"/>
                <w:szCs w:val="21"/>
              </w:rPr>
              <w:t xml:space="preserve">原件备查； </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hint="eastAsia" w:ascii="宋体" w:hAnsi="宋体"/>
                <w:color w:val="000000"/>
                <w:szCs w:val="21"/>
                <w:lang w:val="en-US" w:eastAsia="zh-CN"/>
              </w:rPr>
              <w:t>4</w:t>
            </w:r>
            <w:r>
              <w:rPr>
                <w:rFonts w:ascii="宋体" w:hAnsi="宋体"/>
                <w:color w:val="000000"/>
                <w:szCs w:val="21"/>
              </w:rPr>
              <w:t xml:space="preserve">.0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3</w:t>
            </w:r>
          </w:p>
        </w:tc>
        <w:tc>
          <w:tcPr>
            <w:tcW w:w="1109" w:type="dxa"/>
            <w:gridSpan w:val="2"/>
            <w:tcBorders>
              <w:top w:val="single" w:color="auto" w:sz="4" w:space="0"/>
              <w:left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企业资信、荣誉</w:t>
            </w: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投标人通过有效期内质量管理体系认证、有效期内环境管理体系认证、有效期内职业健康安全管理体系认证，每提供一个得2分，满6分。</w:t>
            </w:r>
          </w:p>
        </w:tc>
        <w:tc>
          <w:tcPr>
            <w:tcW w:w="22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b/>
                <w:color w:val="auto"/>
                <w:szCs w:val="21"/>
              </w:rPr>
            </w:pPr>
            <w:r>
              <w:rPr>
                <w:rFonts w:ascii="宋体" w:hAnsi="宋体"/>
                <w:color w:val="auto"/>
                <w:szCs w:val="21"/>
              </w:rPr>
              <w:t>提供相关证书，原件备查；</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auto"/>
                <w:szCs w:val="21"/>
              </w:rPr>
            </w:pPr>
            <w:r>
              <w:rPr>
                <w:rFonts w:hint="eastAsia" w:ascii="宋体" w:hAnsi="宋体"/>
                <w:color w:val="auto"/>
                <w:szCs w:val="21"/>
                <w:lang w:val="en-US" w:eastAsia="zh-CN"/>
              </w:rPr>
              <w:t>6</w:t>
            </w:r>
            <w:r>
              <w:rPr>
                <w:rFonts w:ascii="宋体" w:hAnsi="宋体"/>
                <w:color w:val="auto"/>
                <w:szCs w:val="21"/>
              </w:rPr>
              <w:t xml:space="preserve">.0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662" w:type="dxa"/>
            <w:vMerge w:val="restart"/>
            <w:tcBorders>
              <w:top w:val="single" w:color="auto" w:sz="4" w:space="0"/>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4</w:t>
            </w:r>
          </w:p>
        </w:tc>
        <w:tc>
          <w:tcPr>
            <w:tcW w:w="1109" w:type="dxa"/>
            <w:gridSpan w:val="2"/>
            <w:vMerge w:val="restart"/>
            <w:tcBorders>
              <w:left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hint="default" w:ascii="Arial" w:hAnsi="Arial" w:cs="Arial"/>
                <w:i w:val="0"/>
                <w:iCs w:val="0"/>
                <w:caps w:val="0"/>
                <w:color w:val="333333"/>
                <w:spacing w:val="0"/>
                <w:sz w:val="24"/>
                <w:szCs w:val="24"/>
                <w:shd w:val="clear" w:fill="FFFFFF"/>
              </w:rPr>
              <w:t>拟派人员资质</w:t>
            </w: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项目经理具有大专及以上学历的，得2分；有护士执业资格证书的，得2分；具有3年以上医院陪护管理经验的，得2分。此项共6分（提供相关证书复印件、甲方出具的管理经验证明及近三个月的社保证明）</w:t>
            </w:r>
          </w:p>
        </w:tc>
        <w:tc>
          <w:tcPr>
            <w:tcW w:w="22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auto"/>
                <w:szCs w:val="21"/>
              </w:rPr>
            </w:pP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auto"/>
                <w:szCs w:val="21"/>
              </w:rPr>
            </w:pPr>
            <w:r>
              <w:rPr>
                <w:rFonts w:hint="eastAsia" w:ascii="宋体" w:hAnsi="宋体"/>
                <w:color w:val="auto"/>
                <w:szCs w:val="21"/>
              </w:rPr>
              <w:t>6</w:t>
            </w:r>
            <w:r>
              <w:rPr>
                <w:rFonts w:ascii="宋体" w:hAnsi="宋体"/>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blHeader/>
          <w:jc w:val="center"/>
        </w:trPr>
        <w:tc>
          <w:tcPr>
            <w:tcW w:w="662"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p>
        </w:tc>
        <w:tc>
          <w:tcPr>
            <w:tcW w:w="547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护理员组长/督导具有行政主管部门或行业协会颁发的医疗或中级及以上养老护理员证书的人员资质，每提供1人得1分，最高得6分</w:t>
            </w:r>
            <w:r>
              <w:rPr>
                <w:rFonts w:hint="default" w:asciiTheme="minorHAnsi" w:hAnsiTheme="minorHAnsi" w:eastAsiaTheme="minorEastAsia" w:cstheme="minorBidi"/>
                <w:b w:val="0"/>
                <w:bCs w:val="0"/>
                <w:color w:val="auto"/>
                <w:kern w:val="2"/>
                <w:sz w:val="21"/>
                <w:szCs w:val="24"/>
                <w:lang w:val="en-US" w:eastAsia="zh-CN" w:bidi="ar-SA"/>
              </w:rPr>
              <w:t>（提供相关证书复印件、甲方出具的管理经验证明及近三个月的社保证明）</w:t>
            </w:r>
            <w:r>
              <w:rPr>
                <w:rFonts w:hint="eastAsia" w:asciiTheme="minorHAnsi" w:hAnsiTheme="minorHAnsi" w:eastAsiaTheme="minorEastAsia" w:cstheme="minorBidi"/>
                <w:b w:val="0"/>
                <w:bCs w:val="0"/>
                <w:color w:val="auto"/>
                <w:kern w:val="2"/>
                <w:sz w:val="21"/>
                <w:szCs w:val="24"/>
                <w:lang w:val="en-US" w:eastAsia="zh-CN" w:bidi="ar-SA"/>
              </w:rPr>
              <w:t>.</w:t>
            </w:r>
          </w:p>
        </w:tc>
        <w:tc>
          <w:tcPr>
            <w:tcW w:w="2265" w:type="dxa"/>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40" w:lineRule="atLeast"/>
              <w:jc w:val="center"/>
              <w:rPr>
                <w:rFonts w:ascii="宋体" w:hAnsi="宋体"/>
                <w:color w:val="auto"/>
                <w:szCs w:val="21"/>
              </w:rPr>
            </w:pP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auto"/>
                <w:szCs w:val="21"/>
              </w:rPr>
            </w:pPr>
            <w:r>
              <w:rPr>
                <w:rFonts w:hint="eastAsia" w:ascii="宋体" w:hAnsi="宋体"/>
                <w:color w:val="auto"/>
                <w:szCs w:val="21"/>
                <w:lang w:val="en-US" w:eastAsia="zh-CN"/>
              </w:rPr>
              <w:t>6</w:t>
            </w:r>
            <w:r>
              <w:rPr>
                <w:rFonts w:ascii="宋体" w:hAnsi="宋体"/>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blHeader/>
          <w:jc w:val="center"/>
        </w:trPr>
        <w:tc>
          <w:tcPr>
            <w:tcW w:w="10202" w:type="dxa"/>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left"/>
              <w:rPr>
                <w:rFonts w:hint="eastAsia" w:ascii="宋体" w:hAnsi="宋体"/>
                <w:b/>
                <w:color w:val="000000"/>
                <w:szCs w:val="21"/>
              </w:rPr>
            </w:pPr>
            <w:r>
              <w:rPr>
                <w:rFonts w:ascii="宋体" w:hAnsi="宋体"/>
                <w:b/>
                <w:color w:val="000000"/>
                <w:szCs w:val="21"/>
              </w:rPr>
              <w:t>注：以上评分项</w:t>
            </w:r>
            <w:r>
              <w:rPr>
                <w:rFonts w:hint="eastAsia" w:ascii="宋体" w:hAnsi="宋体"/>
                <w:b/>
                <w:color w:val="000000"/>
                <w:szCs w:val="21"/>
              </w:rPr>
              <w:t>材料</w:t>
            </w:r>
            <w:r>
              <w:rPr>
                <w:rFonts w:ascii="宋体" w:hAnsi="宋体"/>
                <w:b/>
                <w:color w:val="000000"/>
                <w:szCs w:val="21"/>
              </w:rPr>
              <w:t>投标人需在投标文件中提供复印件</w:t>
            </w:r>
            <w:r>
              <w:rPr>
                <w:rFonts w:hint="eastAsia" w:ascii="宋体" w:hAnsi="宋体"/>
                <w:b/>
                <w:color w:val="000000"/>
                <w:szCs w:val="21"/>
              </w:rPr>
              <w:t>，</w:t>
            </w:r>
            <w:r>
              <w:rPr>
                <w:rFonts w:ascii="宋体" w:hAnsi="宋体"/>
                <w:b/>
                <w:color w:val="000000"/>
                <w:szCs w:val="21"/>
              </w:rPr>
              <w:t>未提供</w:t>
            </w:r>
            <w:r>
              <w:rPr>
                <w:rFonts w:hint="eastAsia" w:ascii="宋体" w:hAnsi="宋体"/>
                <w:b/>
                <w:color w:val="000000"/>
                <w:szCs w:val="21"/>
                <w:lang w:val="en-US" w:eastAsia="zh-CN"/>
              </w:rPr>
              <w:t>复印件</w:t>
            </w:r>
            <w:r>
              <w:rPr>
                <w:rFonts w:ascii="宋体" w:hAnsi="宋体"/>
                <w:b/>
                <w:color w:val="000000"/>
                <w:szCs w:val="21"/>
              </w:rPr>
              <w:t>或经评审无效的证明文件，均不得分。</w:t>
            </w:r>
            <w:r>
              <w:rPr>
                <w:rFonts w:hint="eastAsia" w:ascii="宋体" w:hAnsi="宋体"/>
                <w:b/>
                <w:color w:val="000000"/>
                <w:szCs w:val="21"/>
              </w:rPr>
              <w:t>定标后，</w:t>
            </w:r>
            <w:r>
              <w:rPr>
                <w:rFonts w:hint="eastAsia" w:ascii="宋体" w:hAnsi="宋体"/>
                <w:b/>
                <w:color w:val="000000"/>
                <w:szCs w:val="21"/>
                <w:lang w:eastAsia="zh-CN"/>
              </w:rPr>
              <w:t>询价人</w:t>
            </w:r>
            <w:r>
              <w:rPr>
                <w:rFonts w:hint="eastAsia" w:ascii="宋体" w:hAnsi="宋体"/>
                <w:b/>
                <w:color w:val="000000"/>
                <w:szCs w:val="21"/>
              </w:rPr>
              <w:t>将对中标人提交的相关评审材料</w:t>
            </w:r>
            <w:r>
              <w:rPr>
                <w:rFonts w:hint="eastAsia" w:ascii="宋体" w:hAnsi="宋体"/>
                <w:b/>
                <w:color w:val="000000"/>
                <w:szCs w:val="21"/>
                <w:lang w:val="en-US" w:eastAsia="zh-CN"/>
              </w:rPr>
              <w:t>原件</w:t>
            </w:r>
            <w:r>
              <w:rPr>
                <w:rFonts w:hint="eastAsia" w:ascii="宋体" w:hAnsi="宋体"/>
                <w:b/>
                <w:color w:val="000000"/>
                <w:szCs w:val="21"/>
              </w:rPr>
              <w:t>进行核验，如发现弄虚作假者，取消其中标资格，并顺延第二名候选人中标。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790" w:type="dxa"/>
            <w:gridSpan w:val="2"/>
            <w:tcBorders>
              <w:top w:val="single" w:color="auto" w:sz="4" w:space="0"/>
              <w:left w:val="nil"/>
              <w:bottom w:val="single" w:color="auto" w:sz="4" w:space="0"/>
              <w:right w:val="nil"/>
            </w:tcBorders>
            <w:noWrap w:val="0"/>
            <w:vAlign w:val="top"/>
          </w:tcPr>
          <w:p>
            <w:pPr>
              <w:ind w:firstLine="196" w:firstLineChars="100"/>
              <w:rPr>
                <w:rFonts w:ascii="宋体" w:hAnsi="宋体"/>
                <w:color w:val="000000"/>
                <w:szCs w:val="21"/>
              </w:rPr>
            </w:pPr>
          </w:p>
          <w:p>
            <w:pPr>
              <w:ind w:firstLine="196" w:firstLineChars="100"/>
              <w:rPr>
                <w:rFonts w:ascii="宋体" w:hAnsi="宋体"/>
                <w:color w:val="000000"/>
                <w:szCs w:val="21"/>
              </w:rPr>
            </w:pPr>
          </w:p>
          <w:p>
            <w:pPr>
              <w:ind w:firstLine="196" w:firstLineChars="100"/>
              <w:rPr>
                <w:rFonts w:ascii="宋体" w:hAnsi="宋体"/>
                <w:color w:val="000000"/>
                <w:szCs w:val="21"/>
              </w:rPr>
            </w:pPr>
          </w:p>
        </w:tc>
        <w:tc>
          <w:tcPr>
            <w:tcW w:w="9412" w:type="dxa"/>
            <w:gridSpan w:val="5"/>
            <w:tcBorders>
              <w:top w:val="single" w:color="auto" w:sz="4" w:space="0"/>
              <w:left w:val="nil"/>
              <w:bottom w:val="single" w:color="auto" w:sz="4" w:space="0"/>
              <w:right w:val="nil"/>
            </w:tcBorders>
            <w:noWrap w:val="0"/>
            <w:vAlign w:val="center"/>
          </w:tcPr>
          <w:p>
            <w:pPr>
              <w:ind w:firstLine="196" w:firstLineChars="100"/>
              <w:rPr>
                <w:rFonts w:ascii="宋体" w:hAnsi="宋体"/>
                <w:color w:val="000000"/>
                <w:szCs w:val="21"/>
              </w:rPr>
            </w:pPr>
          </w:p>
          <w:p>
            <w:pPr>
              <w:ind w:firstLine="196" w:firstLineChars="100"/>
              <w:rPr>
                <w:rFonts w:ascii="宋体" w:hAnsi="宋体"/>
                <w:b/>
                <w:color w:val="000000"/>
                <w:szCs w:val="21"/>
              </w:rPr>
            </w:pPr>
            <w:r>
              <w:rPr>
                <w:rFonts w:hint="eastAsia" w:ascii="宋体" w:hAnsi="宋体"/>
                <w:b/>
                <w:color w:val="000000"/>
                <w:szCs w:val="21"/>
                <w:lang w:val="en-US" w:eastAsia="zh-CN"/>
              </w:rPr>
              <w:t>3</w:t>
            </w:r>
            <w:r>
              <w:rPr>
                <w:rFonts w:ascii="宋体" w:hAnsi="宋体"/>
                <w:b/>
                <w:color w:val="000000"/>
                <w:szCs w:val="21"/>
              </w:rPr>
              <w:t>.2技术标评审细则（</w:t>
            </w:r>
            <w:r>
              <w:rPr>
                <w:rFonts w:hint="eastAsia" w:ascii="宋体" w:hAnsi="宋体"/>
                <w:b/>
                <w:color w:val="000000"/>
                <w:szCs w:val="21"/>
                <w:lang w:val="en-US" w:eastAsia="zh-CN"/>
              </w:rPr>
              <w:t>42</w:t>
            </w:r>
            <w:r>
              <w:rPr>
                <w:rFonts w:ascii="宋体" w:hAnsi="宋体"/>
                <w:b/>
                <w:color w:val="000000"/>
                <w:szCs w:val="21"/>
              </w:rPr>
              <w:t>分）</w:t>
            </w:r>
          </w:p>
          <w:p>
            <w:pPr>
              <w:adjustRightInd w:val="0"/>
              <w:snapToGrid w:val="0"/>
              <w:spacing w:line="240" w:lineRule="atLeast"/>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blHeader/>
          <w:jc w:val="center"/>
        </w:trPr>
        <w:tc>
          <w:tcPr>
            <w:tcW w:w="662"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序号</w:t>
            </w:r>
          </w:p>
        </w:tc>
        <w:tc>
          <w:tcPr>
            <w:tcW w:w="1109"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评分因素</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评审标准</w:t>
            </w:r>
          </w:p>
        </w:tc>
        <w:tc>
          <w:tcPr>
            <w:tcW w:w="6645" w:type="dxa"/>
            <w:gridSpan w:val="2"/>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240" w:lineRule="atLeast"/>
              <w:jc w:val="center"/>
              <w:rPr>
                <w:rFonts w:ascii="宋体" w:hAnsi="宋体"/>
                <w:color w:val="000000"/>
                <w:szCs w:val="21"/>
              </w:rPr>
            </w:pPr>
            <w:r>
              <w:rPr>
                <w:rFonts w:ascii="宋体" w:hAnsi="宋体"/>
                <w:color w:val="000000"/>
                <w:szCs w:val="21"/>
              </w:rPr>
              <w:t>提供材料</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ascii="宋体" w:hAnsi="宋体"/>
                <w:color w:val="000000"/>
                <w:szCs w:val="21"/>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662" w:type="dxa"/>
            <w:vMerge w:val="restart"/>
            <w:tcBorders>
              <w:top w:val="single" w:color="auto" w:sz="4" w:space="0"/>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rPr>
              <w:t>1</w:t>
            </w:r>
          </w:p>
          <w:p>
            <w:pPr>
              <w:adjustRightInd w:val="0"/>
              <w:snapToGrid w:val="0"/>
              <w:spacing w:line="240" w:lineRule="atLeast"/>
              <w:jc w:val="center"/>
              <w:rPr>
                <w:rFonts w:hint="eastAsia" w:ascii="宋体" w:hAnsi="宋体"/>
                <w:color w:val="000000"/>
                <w:szCs w:val="21"/>
              </w:rPr>
            </w:pPr>
          </w:p>
        </w:tc>
        <w:tc>
          <w:tcPr>
            <w:tcW w:w="1109" w:type="dxa"/>
            <w:gridSpan w:val="2"/>
            <w:vMerge w:val="restart"/>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服务</w:t>
            </w: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方案</w:t>
            </w: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 xml:space="preserve"> 部分</w:t>
            </w: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ascii="宋体" w:hAnsi="宋体"/>
                <w:color w:val="000000"/>
                <w:szCs w:val="21"/>
              </w:rPr>
            </w:pPr>
            <w:r>
              <w:rPr>
                <w:rFonts w:hint="default" w:ascii="Arial" w:hAnsi="Arial" w:cs="Arial"/>
                <w:i w:val="0"/>
                <w:iCs w:val="0"/>
                <w:caps w:val="0"/>
                <w:color w:val="333333"/>
                <w:spacing w:val="0"/>
                <w:sz w:val="24"/>
                <w:szCs w:val="24"/>
                <w:shd w:val="clear" w:fill="FFFFFF"/>
              </w:rPr>
              <w:t>（</w:t>
            </w:r>
            <w:r>
              <w:rPr>
                <w:rFonts w:hint="eastAsia" w:ascii="Arial" w:hAnsi="Arial" w:cs="Arial"/>
                <w:i w:val="0"/>
                <w:iCs w:val="0"/>
                <w:caps w:val="0"/>
                <w:color w:val="333333"/>
                <w:spacing w:val="0"/>
                <w:sz w:val="24"/>
                <w:szCs w:val="24"/>
                <w:shd w:val="clear" w:fill="FFFFFF"/>
                <w:lang w:val="en-US" w:eastAsia="zh-CN"/>
              </w:rPr>
              <w:t>26</w:t>
            </w:r>
            <w:r>
              <w:rPr>
                <w:rFonts w:hint="default" w:ascii="Arial" w:hAnsi="Arial" w:cs="Arial"/>
                <w:i w:val="0"/>
                <w:iCs w:val="0"/>
                <w:caps w:val="0"/>
                <w:color w:val="333333"/>
                <w:spacing w:val="0"/>
                <w:sz w:val="24"/>
                <w:szCs w:val="24"/>
                <w:shd w:val="clear" w:fill="FFFFFF"/>
              </w:rPr>
              <w:t>分）</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default"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服务设想</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ascii="宋体" w:hAnsi="宋体"/>
                <w:color w:val="000000"/>
                <w:szCs w:val="21"/>
              </w:rPr>
            </w:pP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针对医院的病区特点（如骨科、内科、</w:t>
            </w:r>
            <w:r>
              <w:rPr>
                <w:rFonts w:hint="eastAsia" w:cstheme="minorBidi"/>
                <w:b w:val="0"/>
                <w:bCs w:val="0"/>
                <w:color w:val="auto"/>
                <w:kern w:val="2"/>
                <w:sz w:val="21"/>
                <w:szCs w:val="24"/>
                <w:lang w:val="en-US" w:eastAsia="zh-CN" w:bidi="ar-SA"/>
              </w:rPr>
              <w:t>康复科、</w:t>
            </w:r>
            <w:r>
              <w:rPr>
                <w:rFonts w:hint="eastAsia" w:asciiTheme="minorHAnsi" w:hAnsiTheme="minorHAnsi" w:eastAsiaTheme="minorEastAsia" w:cstheme="minorBidi"/>
                <w:b w:val="0"/>
                <w:bCs w:val="0"/>
                <w:color w:val="auto"/>
                <w:kern w:val="2"/>
                <w:sz w:val="21"/>
                <w:szCs w:val="24"/>
                <w:lang w:val="en-US" w:eastAsia="zh-CN" w:bidi="ar-SA"/>
              </w:rPr>
              <w:t>神经外</w:t>
            </w:r>
            <w:r>
              <w:rPr>
                <w:rFonts w:hint="eastAsia" w:cstheme="minorBidi"/>
                <w:b w:val="0"/>
                <w:bCs w:val="0"/>
                <w:color w:val="auto"/>
                <w:kern w:val="2"/>
                <w:sz w:val="21"/>
                <w:szCs w:val="24"/>
                <w:lang w:val="en-US" w:eastAsia="zh-CN" w:bidi="ar-SA"/>
              </w:rPr>
              <w:t>科</w:t>
            </w:r>
            <w:r>
              <w:rPr>
                <w:rFonts w:hint="eastAsia" w:asciiTheme="minorHAnsi" w:hAnsiTheme="minorHAnsi" w:eastAsiaTheme="minorEastAsia" w:cstheme="minorBidi"/>
                <w:b w:val="0"/>
                <w:bCs w:val="0"/>
                <w:color w:val="auto"/>
                <w:kern w:val="2"/>
                <w:sz w:val="21"/>
                <w:szCs w:val="24"/>
                <w:lang w:val="en-US" w:eastAsia="zh-CN" w:bidi="ar-SA"/>
              </w:rPr>
              <w:t>等），制定详细的进场计划、运作流程、总体组织实施服务方案。</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1.方案包含的要点齐全无缺漏项、内容与要点相符、内容完善且能够适用于本项目的，得6分；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2.方案包含的要点齐全、内容与要点相符，但仅有纲要内容简略，未展开阐述的，得4分；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3.方案所包含的要点有缺漏或内容存在错误的，得2分；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宋体" w:hAnsi="宋体" w:eastAsia="宋体" w:cs="宋体"/>
                <w:color w:val="000000"/>
                <w:sz w:val="24"/>
                <w:szCs w:val="24"/>
              </w:rPr>
            </w:pPr>
            <w:r>
              <w:rPr>
                <w:rFonts w:hint="eastAsia" w:asciiTheme="minorHAnsi" w:hAnsiTheme="minorHAnsi" w:eastAsiaTheme="minorEastAsia" w:cstheme="minorBidi"/>
                <w:b w:val="0"/>
                <w:bCs w:val="0"/>
                <w:color w:val="auto"/>
                <w:kern w:val="2"/>
                <w:sz w:val="21"/>
                <w:szCs w:val="24"/>
                <w:lang w:val="en-US" w:eastAsia="zh-CN" w:bidi="ar-SA"/>
              </w:rPr>
              <w:t>4.未提供的本项不得分。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default" w:ascii="宋体" w:hAnsi="宋体" w:eastAsiaTheme="minorEastAsia"/>
                <w:color w:val="000000"/>
                <w:szCs w:val="21"/>
                <w:lang w:val="en-US" w:eastAsia="zh-CN"/>
              </w:rPr>
            </w:pPr>
            <w:r>
              <w:rPr>
                <w:rFonts w:hint="eastAsia" w:ascii="宋体" w:hAnsi="宋体"/>
                <w:color w:val="000000"/>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662" w:type="dxa"/>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default"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责任及事故纠纷的预防解决措施</w:t>
            </w:r>
          </w:p>
          <w:p>
            <w:pPr>
              <w:jc w:val="center"/>
              <w:rPr>
                <w:rFonts w:hint="eastAsia" w:ascii="Arial" w:hAnsi="Arial" w:cs="Arial"/>
                <w:i w:val="0"/>
                <w:iCs w:val="0"/>
                <w:caps w:val="0"/>
                <w:color w:val="333333"/>
                <w:spacing w:val="0"/>
                <w:sz w:val="24"/>
                <w:szCs w:val="24"/>
                <w:shd w:val="clear" w:fill="FFFFFF"/>
                <w:lang w:val="en-US" w:eastAsia="zh-CN"/>
              </w:rPr>
            </w:pP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针对本项目的责任及事故纠纷的预防解决措施，包括事故纠纷防范监管措施、责任及事故纠纷分级管理、事故纠纷解决流程及方案。</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1.岗位设置合理，有明确的组织架构、部门职责，工作流程完整、科学、可行，各类规章制度健全规范，针对陪护工作所做的规划客观、明确得6分；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2.岗位设置齐全，有部门职责，工作流程完整，各类规章制度健全，有针对陪护工作所做的规划得4分；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3.岗位设置齐全，工作流程较完整，各类规章制度较健全，陪护工作规范一般得2分；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4.岗位设置不齐全或不合理，或无部门职责，得1分。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宋体" w:hAnsi="宋体" w:eastAsia="宋体" w:cs="宋体"/>
                <w:color w:val="000000"/>
                <w:sz w:val="24"/>
                <w:szCs w:val="24"/>
              </w:rPr>
            </w:pPr>
            <w:r>
              <w:rPr>
                <w:rFonts w:hint="eastAsia" w:asciiTheme="minorHAnsi" w:hAnsiTheme="minorHAnsi" w:eastAsiaTheme="minorEastAsia" w:cstheme="minorBidi"/>
                <w:b w:val="0"/>
                <w:bCs w:val="0"/>
                <w:color w:val="auto"/>
                <w:kern w:val="2"/>
                <w:sz w:val="21"/>
                <w:szCs w:val="24"/>
                <w:lang w:val="en-US" w:eastAsia="zh-CN" w:bidi="ar-SA"/>
              </w:rPr>
              <w:t>5.无工作流程的描述不得分。 </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662" w:type="dxa"/>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质量</w:t>
            </w:r>
            <w:r>
              <w:rPr>
                <w:rFonts w:hint="eastAsia" w:asciiTheme="minorHAnsi" w:hAnsiTheme="minorHAnsi" w:eastAsiaTheme="minorEastAsia" w:cstheme="minorBidi"/>
                <w:b w:val="0"/>
                <w:bCs w:val="0"/>
                <w:color w:val="auto"/>
                <w:kern w:val="2"/>
                <w:sz w:val="21"/>
                <w:szCs w:val="24"/>
                <w:lang w:val="en-US" w:eastAsia="zh-CN" w:bidi="ar-SA"/>
              </w:rPr>
              <w:t>保障方案</w:t>
            </w:r>
          </w:p>
          <w:p>
            <w:pPr>
              <w:keepNext w:val="0"/>
              <w:keepLines w:val="0"/>
              <w:widowControl/>
              <w:suppressLineNumbers w:val="0"/>
              <w:shd w:val="clear" w:fill="FFFFFF"/>
              <w:spacing w:before="0" w:beforeAutospacing="0" w:after="0" w:afterAutospacing="0" w:line="23" w:lineRule="atLeast"/>
              <w:ind w:left="0" w:right="0" w:firstLine="480"/>
              <w:jc w:val="center"/>
              <w:rPr>
                <w:rFonts w:hint="default" w:ascii="Arial" w:hAnsi="Arial" w:cs="Arial"/>
                <w:i w:val="0"/>
                <w:iCs w:val="0"/>
                <w:caps w:val="0"/>
                <w:color w:val="333333"/>
                <w:spacing w:val="0"/>
                <w:sz w:val="27"/>
                <w:szCs w:val="27"/>
              </w:rPr>
            </w:pPr>
          </w:p>
          <w:p>
            <w:pPr>
              <w:jc w:val="center"/>
              <w:rPr>
                <w:rFonts w:hint="eastAsia" w:ascii="Arial" w:hAnsi="Arial" w:cs="Arial"/>
                <w:i w:val="0"/>
                <w:iCs w:val="0"/>
                <w:caps w:val="0"/>
                <w:color w:val="333333"/>
                <w:spacing w:val="0"/>
                <w:sz w:val="24"/>
                <w:szCs w:val="24"/>
                <w:shd w:val="clear" w:fill="FFFFFF"/>
                <w:lang w:val="en-US" w:eastAsia="zh-CN"/>
              </w:rPr>
            </w:pP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针对本项目提供的公司规范化管理制度、考核制度、项目质量保障方案。</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1.制订的陪护服务质量控制标准（包括操作规范、操作标准、星级护理员评选标准等）详细、完善，分类管理规范和要求等详细、完善的得6分；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2.制订的陪护服务质量控制标准分类管理规范和要求等比较完善的得4分；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3.制订的陪护服务质量控制标准一般，得2分；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4.制订的陪护服务质量控制标准较差得1分。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宋体" w:hAnsi="宋体" w:eastAsia="宋体" w:cs="宋体"/>
                <w:i w:val="0"/>
                <w:iCs w:val="0"/>
                <w:caps w:val="0"/>
                <w:color w:val="333333"/>
                <w:spacing w:val="0"/>
                <w:kern w:val="0"/>
                <w:sz w:val="24"/>
                <w:szCs w:val="24"/>
                <w:shd w:val="clear" w:fill="FFFFFF"/>
                <w:lang w:val="en-US" w:eastAsia="zh-CN" w:bidi="ar"/>
              </w:rPr>
            </w:pPr>
            <w:r>
              <w:rPr>
                <w:rFonts w:hint="eastAsia" w:asciiTheme="minorHAnsi" w:hAnsiTheme="minorHAnsi" w:eastAsiaTheme="minorEastAsia" w:cstheme="minorBidi"/>
                <w:b w:val="0"/>
                <w:bCs w:val="0"/>
                <w:color w:val="auto"/>
                <w:kern w:val="2"/>
                <w:sz w:val="21"/>
                <w:szCs w:val="24"/>
                <w:lang w:val="en-US" w:eastAsia="zh-CN" w:bidi="ar-SA"/>
              </w:rPr>
              <w:t>5.不提供不得分。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0" w:hRule="atLeast"/>
          <w:tblHeader/>
          <w:jc w:val="center"/>
        </w:trPr>
        <w:tc>
          <w:tcPr>
            <w:tcW w:w="662" w:type="dxa"/>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培训</w:t>
            </w:r>
            <w:r>
              <w:rPr>
                <w:rFonts w:hint="eastAsia" w:asciiTheme="minorHAnsi" w:hAnsiTheme="minorHAnsi" w:eastAsiaTheme="minorEastAsia" w:cstheme="minorBidi"/>
                <w:b w:val="0"/>
                <w:bCs w:val="0"/>
                <w:color w:val="auto"/>
                <w:kern w:val="2"/>
                <w:sz w:val="21"/>
                <w:szCs w:val="24"/>
                <w:lang w:val="en-US" w:eastAsia="zh-CN" w:bidi="ar-SA"/>
              </w:rPr>
              <w:t>方案</w:t>
            </w:r>
          </w:p>
          <w:p>
            <w:pPr>
              <w:jc w:val="center"/>
              <w:rPr>
                <w:rFonts w:hint="eastAsia" w:ascii="Arial" w:hAnsi="Arial" w:cs="Arial"/>
                <w:i w:val="0"/>
                <w:iCs w:val="0"/>
                <w:caps w:val="0"/>
                <w:color w:val="333333"/>
                <w:spacing w:val="0"/>
                <w:sz w:val="24"/>
                <w:szCs w:val="24"/>
                <w:shd w:val="clear" w:fill="FFFFFF"/>
                <w:lang w:val="en-US" w:eastAsia="zh-CN"/>
              </w:rPr>
            </w:pP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针对本项目提供培训管理方案，包括培训内容、培训方式、培训计划等。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1.培训计划合理，针对性强，有明确的部门职责，工作流程完整、科学、可行，各类规章制度健全规范，针对本项目所做的培训规划客观、明确，有专门的技能培训场所和设备的得</w:t>
            </w:r>
            <w:r>
              <w:rPr>
                <w:rFonts w:hint="eastAsia" w:cstheme="minorBidi"/>
                <w:b w:val="0"/>
                <w:bCs w:val="0"/>
                <w:color w:val="auto"/>
                <w:kern w:val="2"/>
                <w:sz w:val="21"/>
                <w:szCs w:val="24"/>
                <w:lang w:val="en-US" w:eastAsia="zh-CN" w:bidi="ar-SA"/>
              </w:rPr>
              <w:t>4</w:t>
            </w:r>
            <w:r>
              <w:rPr>
                <w:rFonts w:hint="eastAsia" w:asciiTheme="minorHAnsi" w:hAnsiTheme="minorHAnsi" w:eastAsiaTheme="minorEastAsia" w:cstheme="minorBidi"/>
                <w:b w:val="0"/>
                <w:bCs w:val="0"/>
                <w:color w:val="auto"/>
                <w:kern w:val="2"/>
                <w:sz w:val="21"/>
                <w:szCs w:val="24"/>
                <w:lang w:val="en-US" w:eastAsia="zh-CN" w:bidi="ar-SA"/>
              </w:rPr>
              <w:t>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2.培训计划较合理，针对性较强，有明确的部门职责，工作流程较完整、科学、可行，各类规章制度较健全规范，针对本项目所做的培训规划较客观、明确，无专门的技能培训场所和设备的得</w:t>
            </w:r>
            <w:r>
              <w:rPr>
                <w:rFonts w:hint="eastAsia" w:cstheme="minorBidi"/>
                <w:b w:val="0"/>
                <w:bCs w:val="0"/>
                <w:color w:val="auto"/>
                <w:kern w:val="2"/>
                <w:sz w:val="21"/>
                <w:szCs w:val="24"/>
                <w:lang w:val="en-US" w:eastAsia="zh-CN" w:bidi="ar-SA"/>
              </w:rPr>
              <w:t>3</w:t>
            </w:r>
            <w:r>
              <w:rPr>
                <w:rFonts w:hint="eastAsia" w:asciiTheme="minorHAnsi" w:hAnsiTheme="minorHAnsi" w:eastAsiaTheme="minorEastAsia" w:cstheme="minorBidi"/>
                <w:b w:val="0"/>
                <w:bCs w:val="0"/>
                <w:color w:val="auto"/>
                <w:kern w:val="2"/>
                <w:sz w:val="21"/>
                <w:szCs w:val="24"/>
                <w:lang w:val="en-US" w:eastAsia="zh-CN" w:bidi="ar-SA"/>
              </w:rPr>
              <w:t>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3.培训计划欠合理，针对性不强，无相关部门职责，工作流程较完整、科学、可行，各类规章制度欠健全规范，针对本项目所做的培训规划欠客观、明确，得2分；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4.方案较差，不具备可行性得1分。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宋体" w:hAnsi="宋体" w:eastAsia="宋体" w:cs="宋体"/>
                <w:i w:val="0"/>
                <w:iCs w:val="0"/>
                <w:caps w:val="0"/>
                <w:color w:val="333333"/>
                <w:spacing w:val="0"/>
                <w:kern w:val="0"/>
                <w:sz w:val="24"/>
                <w:szCs w:val="24"/>
                <w:shd w:val="clear" w:fill="FFFFFF"/>
                <w:lang w:val="en-US" w:eastAsia="zh-CN" w:bidi="ar"/>
              </w:rPr>
            </w:pPr>
            <w:r>
              <w:rPr>
                <w:rFonts w:hint="eastAsia" w:asciiTheme="minorHAnsi" w:hAnsiTheme="minorHAnsi" w:eastAsiaTheme="minorEastAsia" w:cstheme="minorBidi"/>
                <w:b w:val="0"/>
                <w:bCs w:val="0"/>
                <w:color w:val="auto"/>
                <w:kern w:val="2"/>
                <w:sz w:val="21"/>
                <w:szCs w:val="24"/>
                <w:lang w:val="en-US" w:eastAsia="zh-CN" w:bidi="ar-SA"/>
              </w:rPr>
              <w:t>5.不提供不得分。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r>
              <w:rPr>
                <w:rFonts w:hint="eastAsia" w:ascii="宋体" w:hAnsi="宋体"/>
                <w:color w:val="000000"/>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662"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center"/>
              <w:textAlignment w:val="auto"/>
              <w:rPr>
                <w:rFonts w:hint="default" w:asciiTheme="minorHAnsi" w:hAnsiTheme="minorHAnsi" w:eastAsiaTheme="minorEastAsia" w:cstheme="minorBidi"/>
                <w:b w:val="0"/>
                <w:bCs w:val="0"/>
                <w:color w:val="auto"/>
                <w:kern w:val="2"/>
                <w:sz w:val="21"/>
                <w:szCs w:val="24"/>
                <w:lang w:val="en-US" w:eastAsia="zh-CN" w:bidi="ar-SA"/>
              </w:rPr>
            </w:pPr>
            <w:r>
              <w:rPr>
                <w:rFonts w:hint="default" w:asciiTheme="minorHAnsi" w:hAnsiTheme="minorHAnsi" w:eastAsiaTheme="minorEastAsia" w:cstheme="minorBidi"/>
                <w:b w:val="0"/>
                <w:bCs w:val="0"/>
                <w:color w:val="auto"/>
                <w:kern w:val="2"/>
                <w:sz w:val="21"/>
                <w:szCs w:val="24"/>
                <w:lang w:val="en-US" w:eastAsia="zh-CN" w:bidi="ar-SA"/>
              </w:rPr>
              <w:t>员工管理方案</w:t>
            </w:r>
          </w:p>
          <w:p>
            <w:pPr>
              <w:jc w:val="center"/>
              <w:rPr>
                <w:rFonts w:ascii="宋体" w:hAnsi="宋体"/>
                <w:color w:val="auto"/>
                <w:szCs w:val="21"/>
              </w:rPr>
            </w:pP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提供的针对本项目投入员工管理方案，包括工作管理制度、团队架构、责任分工与岗位职责、奖惩制度、人性关怀制度和人员稳定措施方案等。</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1.方案包含的要点齐全无缺漏项，内容与要点相符，内容完善且能够适用于本项目的，得</w:t>
            </w:r>
            <w:r>
              <w:rPr>
                <w:rFonts w:hint="eastAsia" w:cstheme="minorBidi"/>
                <w:b w:val="0"/>
                <w:bCs w:val="0"/>
                <w:color w:val="auto"/>
                <w:kern w:val="2"/>
                <w:sz w:val="21"/>
                <w:szCs w:val="24"/>
                <w:lang w:val="en-US" w:eastAsia="zh-CN" w:bidi="ar-SA"/>
              </w:rPr>
              <w:t>4</w:t>
            </w:r>
            <w:r>
              <w:rPr>
                <w:rFonts w:hint="eastAsia" w:asciiTheme="minorHAnsi" w:hAnsiTheme="minorHAnsi" w:eastAsiaTheme="minorEastAsia" w:cstheme="minorBidi"/>
                <w:b w:val="0"/>
                <w:bCs w:val="0"/>
                <w:color w:val="auto"/>
                <w:kern w:val="2"/>
                <w:sz w:val="21"/>
                <w:szCs w:val="24"/>
                <w:lang w:val="en-US" w:eastAsia="zh-CN" w:bidi="ar-SA"/>
              </w:rPr>
              <w:t>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2.方案包含的要点齐全，内容与要点相符，但仅有纲要，内容简略，未展开阐述的，得</w:t>
            </w:r>
            <w:r>
              <w:rPr>
                <w:rFonts w:hint="eastAsia" w:cstheme="minorBidi"/>
                <w:b w:val="0"/>
                <w:bCs w:val="0"/>
                <w:color w:val="auto"/>
                <w:kern w:val="2"/>
                <w:sz w:val="21"/>
                <w:szCs w:val="24"/>
                <w:lang w:val="en-US" w:eastAsia="zh-CN" w:bidi="ar-SA"/>
              </w:rPr>
              <w:t>3</w:t>
            </w:r>
            <w:r>
              <w:rPr>
                <w:rFonts w:hint="eastAsia" w:asciiTheme="minorHAnsi" w:hAnsiTheme="minorHAnsi" w:eastAsiaTheme="minorEastAsia" w:cstheme="minorBidi"/>
                <w:b w:val="0"/>
                <w:bCs w:val="0"/>
                <w:color w:val="auto"/>
                <w:kern w:val="2"/>
                <w:sz w:val="21"/>
                <w:szCs w:val="24"/>
                <w:lang w:val="en-US" w:eastAsia="zh-CN" w:bidi="ar-SA"/>
              </w:rPr>
              <w:t>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3.方案所包含的要点有缺漏或内容存在错误的，得</w:t>
            </w:r>
            <w:r>
              <w:rPr>
                <w:rFonts w:hint="eastAsia" w:cstheme="minorBidi"/>
                <w:b w:val="0"/>
                <w:bCs w:val="0"/>
                <w:color w:val="auto"/>
                <w:kern w:val="2"/>
                <w:sz w:val="21"/>
                <w:szCs w:val="24"/>
                <w:lang w:val="en-US" w:eastAsia="zh-CN" w:bidi="ar-SA"/>
              </w:rPr>
              <w:t>2</w:t>
            </w:r>
            <w:r>
              <w:rPr>
                <w:rFonts w:hint="eastAsia" w:asciiTheme="minorHAnsi" w:hAnsiTheme="minorHAnsi" w:eastAsiaTheme="minorEastAsia" w:cstheme="minorBidi"/>
                <w:b w:val="0"/>
                <w:bCs w:val="0"/>
                <w:color w:val="auto"/>
                <w:kern w:val="2"/>
                <w:sz w:val="21"/>
                <w:szCs w:val="24"/>
                <w:lang w:val="en-US" w:eastAsia="zh-CN" w:bidi="ar-SA"/>
              </w:rPr>
              <w:t>分；</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宋体" w:hAnsi="宋体" w:eastAsia="宋体" w:cs="宋体"/>
                <w:color w:val="auto"/>
                <w:sz w:val="24"/>
                <w:szCs w:val="24"/>
              </w:rPr>
            </w:pPr>
            <w:r>
              <w:rPr>
                <w:rFonts w:hint="eastAsia" w:asciiTheme="minorHAnsi" w:hAnsiTheme="minorHAnsi" w:eastAsiaTheme="minorEastAsia" w:cstheme="minorBidi"/>
                <w:b w:val="0"/>
                <w:bCs w:val="0"/>
                <w:color w:val="auto"/>
                <w:kern w:val="2"/>
                <w:sz w:val="21"/>
                <w:szCs w:val="24"/>
                <w:lang w:val="en-US" w:eastAsia="zh-CN" w:bidi="ar-SA"/>
              </w:rPr>
              <w:t>4.未提供的，本项不得分。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ascii="宋体" w:hAnsi="宋体"/>
                <w:color w:val="000000"/>
                <w:szCs w:val="21"/>
              </w:rPr>
            </w:pPr>
            <w:r>
              <w:rPr>
                <w:rFonts w:hint="eastAsia" w:ascii="宋体" w:hAnsi="宋体"/>
                <w:color w:val="000000"/>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662" w:type="dxa"/>
            <w:vMerge w:val="restart"/>
            <w:tcBorders>
              <w:top w:val="single" w:color="auto" w:sz="4" w:space="0"/>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2</w:t>
            </w:r>
          </w:p>
        </w:tc>
        <w:tc>
          <w:tcPr>
            <w:tcW w:w="1109" w:type="dxa"/>
            <w:gridSpan w:val="2"/>
            <w:vMerge w:val="restart"/>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信息</w:t>
            </w: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r>
              <w:rPr>
                <w:rFonts w:hint="default" w:ascii="Arial" w:hAnsi="Arial" w:cs="Arial"/>
                <w:i w:val="0"/>
                <w:iCs w:val="0"/>
                <w:caps w:val="0"/>
                <w:color w:val="333333"/>
                <w:spacing w:val="0"/>
                <w:sz w:val="24"/>
                <w:szCs w:val="24"/>
                <w:shd w:val="clear" w:fill="FFFFFF"/>
              </w:rPr>
              <w:t>化水</w:t>
            </w:r>
          </w:p>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r>
              <w:rPr>
                <w:rFonts w:hint="default" w:ascii="Arial" w:hAnsi="Arial" w:cs="Arial"/>
                <w:i w:val="0"/>
                <w:iCs w:val="0"/>
                <w:caps w:val="0"/>
                <w:color w:val="333333"/>
                <w:spacing w:val="0"/>
                <w:sz w:val="24"/>
                <w:szCs w:val="24"/>
                <w:shd w:val="clear" w:fill="FFFFFF"/>
              </w:rPr>
              <w:t>平</w:t>
            </w:r>
            <w:r>
              <w:rPr>
                <w:rFonts w:hint="eastAsia" w:ascii="Arial" w:hAnsi="Arial" w:cs="Arial"/>
                <w:i w:val="0"/>
                <w:iCs w:val="0"/>
                <w:caps w:val="0"/>
                <w:color w:val="333333"/>
                <w:spacing w:val="0"/>
                <w:sz w:val="24"/>
                <w:szCs w:val="24"/>
                <w:shd w:val="clear" w:fill="FFFFFF"/>
                <w:lang w:val="en-US" w:eastAsia="zh-CN"/>
              </w:rPr>
              <w:t>部</w:t>
            </w: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p>
          <w:p>
            <w:pPr>
              <w:adjustRightInd w:val="0"/>
              <w:snapToGrid w:val="0"/>
              <w:spacing w:line="240" w:lineRule="atLeast"/>
              <w:jc w:val="center"/>
              <w:rPr>
                <w:rFonts w:hint="eastAsia" w:ascii="Arial" w:hAnsi="Arial" w:cs="Arial"/>
                <w:i w:val="0"/>
                <w:iCs w:val="0"/>
                <w:caps w:val="0"/>
                <w:color w:val="333333"/>
                <w:spacing w:val="0"/>
                <w:sz w:val="24"/>
                <w:szCs w:val="24"/>
                <w:shd w:val="clear" w:fill="FFFFFF"/>
                <w:lang w:val="en-US" w:eastAsia="zh-CN"/>
              </w:rPr>
            </w:pPr>
            <w:r>
              <w:rPr>
                <w:rFonts w:hint="eastAsia" w:ascii="Arial" w:hAnsi="Arial" w:cs="Arial"/>
                <w:i w:val="0"/>
                <w:iCs w:val="0"/>
                <w:caps w:val="0"/>
                <w:color w:val="333333"/>
                <w:spacing w:val="0"/>
                <w:sz w:val="24"/>
                <w:szCs w:val="24"/>
                <w:shd w:val="clear" w:fill="FFFFFF"/>
                <w:lang w:val="en-US" w:eastAsia="zh-CN"/>
              </w:rPr>
              <w:t>分</w:t>
            </w:r>
          </w:p>
          <w:p>
            <w:pPr>
              <w:adjustRightInd w:val="0"/>
              <w:snapToGrid w:val="0"/>
              <w:spacing w:line="240" w:lineRule="atLeast"/>
              <w:jc w:val="center"/>
              <w:rPr>
                <w:rFonts w:hint="eastAsia" w:ascii="宋体" w:hAnsi="宋体" w:eastAsiaTheme="minorEastAsia"/>
                <w:color w:val="000000"/>
                <w:szCs w:val="21"/>
                <w:lang w:val="en-US" w:eastAsia="zh-CN"/>
              </w:rPr>
            </w:pPr>
            <w:r>
              <w:rPr>
                <w:rFonts w:hint="default" w:ascii="Arial" w:hAnsi="Arial" w:cs="Arial"/>
                <w:i w:val="0"/>
                <w:iCs w:val="0"/>
                <w:caps w:val="0"/>
                <w:color w:val="333333"/>
                <w:spacing w:val="0"/>
                <w:sz w:val="24"/>
                <w:szCs w:val="24"/>
                <w:shd w:val="clear" w:fill="FFFFFF"/>
              </w:rPr>
              <w:t>（</w:t>
            </w:r>
            <w:r>
              <w:rPr>
                <w:rFonts w:hint="eastAsia" w:ascii="Arial" w:hAnsi="Arial" w:cs="Arial"/>
                <w:i w:val="0"/>
                <w:iCs w:val="0"/>
                <w:caps w:val="0"/>
                <w:color w:val="333333"/>
                <w:spacing w:val="0"/>
                <w:sz w:val="24"/>
                <w:szCs w:val="24"/>
                <w:shd w:val="clear" w:fill="FFFFFF"/>
                <w:lang w:val="en-US" w:eastAsia="zh-CN"/>
              </w:rPr>
              <w:t>16</w:t>
            </w:r>
            <w:r>
              <w:rPr>
                <w:rFonts w:hint="default" w:ascii="Arial" w:hAnsi="Arial" w:cs="Arial"/>
                <w:i w:val="0"/>
                <w:iCs w:val="0"/>
                <w:caps w:val="0"/>
                <w:color w:val="333333"/>
                <w:spacing w:val="0"/>
                <w:sz w:val="24"/>
                <w:szCs w:val="24"/>
                <w:shd w:val="clear" w:fill="FFFFFF"/>
              </w:rPr>
              <w:t>分）</w:t>
            </w:r>
          </w:p>
        </w:tc>
        <w:tc>
          <w:tcPr>
            <w:tcW w:w="109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宋体" w:hAnsi="宋体"/>
                <w:color w:val="000000"/>
                <w:szCs w:val="21"/>
              </w:rPr>
            </w:pPr>
            <w:r>
              <w:rPr>
                <w:rFonts w:hint="eastAsia" w:asciiTheme="minorHAnsi" w:hAnsiTheme="minorHAnsi" w:eastAsiaTheme="minorEastAsia" w:cstheme="minorBidi"/>
                <w:b w:val="0"/>
                <w:bCs w:val="0"/>
                <w:color w:val="auto"/>
                <w:kern w:val="2"/>
                <w:sz w:val="21"/>
                <w:szCs w:val="24"/>
                <w:lang w:val="en-US" w:eastAsia="zh-CN" w:bidi="ar-SA"/>
              </w:rPr>
              <w:t>自主开发的服务软件</w:t>
            </w: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hint="eastAsia" w:ascii="宋体" w:hAnsi="宋体" w:eastAsia="宋体" w:cs="宋体"/>
                <w:color w:val="000000"/>
                <w:sz w:val="24"/>
                <w:szCs w:val="24"/>
              </w:rPr>
            </w:pPr>
            <w:r>
              <w:rPr>
                <w:rFonts w:hint="eastAsia" w:asciiTheme="minorHAnsi" w:hAnsiTheme="minorHAnsi" w:eastAsiaTheme="minorEastAsia" w:cstheme="minorBidi"/>
                <w:b w:val="0"/>
                <w:bCs w:val="0"/>
                <w:color w:val="auto"/>
                <w:kern w:val="2"/>
                <w:sz w:val="21"/>
                <w:szCs w:val="24"/>
                <w:lang w:val="en-US" w:eastAsia="zh-CN" w:bidi="ar-SA"/>
              </w:rPr>
              <w:t>具有自主开发的服务软件，内容包括智慧审单系统、智慧评价系统、数智陪护系统、服务驾驶舱系统、陪护客户小程序，每提供一个得1分，满分5分。（须提供软件著作权等证明材料）</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662" w:type="dxa"/>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宋体" w:hAnsi="宋体"/>
                <w:color w:val="000000"/>
                <w:szCs w:val="21"/>
              </w:rPr>
            </w:pPr>
            <w:r>
              <w:rPr>
                <w:rFonts w:hint="default" w:asciiTheme="minorHAnsi" w:hAnsiTheme="minorHAnsi" w:eastAsiaTheme="minorEastAsia" w:cstheme="minorBidi"/>
                <w:b w:val="0"/>
                <w:bCs w:val="0"/>
                <w:color w:val="auto"/>
                <w:kern w:val="2"/>
                <w:sz w:val="21"/>
                <w:szCs w:val="24"/>
                <w:lang w:val="en-US" w:eastAsia="zh-CN" w:bidi="ar-SA"/>
              </w:rPr>
              <w:t>信息管理体系认证证书</w:t>
            </w: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exact"/>
              <w:ind w:right="0"/>
              <w:jc w:val="left"/>
              <w:textAlignment w:val="auto"/>
              <w:rPr>
                <w:rFonts w:ascii="宋体" w:hAnsi="宋体"/>
                <w:color w:val="000000"/>
                <w:szCs w:val="21"/>
              </w:rPr>
            </w:pPr>
            <w:r>
              <w:rPr>
                <w:rFonts w:hint="default" w:asciiTheme="minorHAnsi" w:hAnsiTheme="minorHAnsi" w:eastAsiaTheme="minorEastAsia" w:cstheme="minorBidi"/>
                <w:b w:val="0"/>
                <w:bCs w:val="0"/>
                <w:color w:val="auto"/>
                <w:kern w:val="2"/>
                <w:sz w:val="21"/>
                <w:szCs w:val="24"/>
                <w:lang w:val="en-US" w:eastAsia="zh-CN" w:bidi="ar-SA"/>
              </w:rPr>
              <w:t>具有有效期内的信息安全管理体系认证证书、信息技术服务管理体系认证证书，认证范围含病人陪护服务，</w:t>
            </w:r>
            <w:r>
              <w:rPr>
                <w:rFonts w:hint="eastAsia" w:asciiTheme="minorHAnsi" w:hAnsiTheme="minorHAnsi" w:eastAsiaTheme="minorEastAsia" w:cstheme="minorBidi"/>
                <w:b w:val="0"/>
                <w:bCs w:val="0"/>
                <w:color w:val="auto"/>
                <w:kern w:val="2"/>
                <w:sz w:val="21"/>
                <w:szCs w:val="24"/>
                <w:lang w:val="en-US" w:eastAsia="zh-CN" w:bidi="ar-SA"/>
              </w:rPr>
              <w:t>满分</w:t>
            </w:r>
            <w:r>
              <w:rPr>
                <w:rFonts w:hint="eastAsia" w:cstheme="minorBidi"/>
                <w:b w:val="0"/>
                <w:bCs w:val="0"/>
                <w:color w:val="auto"/>
                <w:kern w:val="2"/>
                <w:sz w:val="21"/>
                <w:szCs w:val="24"/>
                <w:lang w:val="en-US" w:eastAsia="zh-CN" w:bidi="ar-SA"/>
              </w:rPr>
              <w:t>6</w:t>
            </w:r>
            <w:r>
              <w:rPr>
                <w:rFonts w:hint="eastAsia" w:asciiTheme="minorHAnsi" w:hAnsiTheme="minorHAnsi" w:eastAsiaTheme="minorEastAsia" w:cstheme="minorBidi"/>
                <w:b w:val="0"/>
                <w:bCs w:val="0"/>
                <w:color w:val="auto"/>
                <w:kern w:val="2"/>
                <w:sz w:val="21"/>
                <w:szCs w:val="24"/>
                <w:lang w:val="en-US" w:eastAsia="zh-CN" w:bidi="ar-SA"/>
              </w:rPr>
              <w:t>分</w:t>
            </w:r>
            <w:r>
              <w:rPr>
                <w:rFonts w:hint="default" w:asciiTheme="minorHAnsi" w:hAnsiTheme="minorHAnsi" w:eastAsiaTheme="minorEastAsia" w:cstheme="minorBidi"/>
                <w:b w:val="0"/>
                <w:bCs w:val="0"/>
                <w:color w:val="auto"/>
                <w:kern w:val="2"/>
                <w:sz w:val="21"/>
                <w:szCs w:val="24"/>
                <w:lang w:val="en-US" w:eastAsia="zh-CN" w:bidi="ar-SA"/>
              </w:rPr>
              <w:t>。（须提供认证证书扫描件并加盖公章，可在全国认证认可信息公共服务平台（http://cx.cnca.cn）查询到相关证书信息，并提供网站信息截图，否则不得分）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662" w:type="dxa"/>
            <w:vMerge w:val="continue"/>
            <w:tcBorders>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color w:val="000000"/>
                <w:szCs w:val="21"/>
              </w:rPr>
            </w:pPr>
          </w:p>
        </w:tc>
        <w:tc>
          <w:tcPr>
            <w:tcW w:w="1109" w:type="dxa"/>
            <w:gridSpan w:val="2"/>
            <w:vMerge w:val="continue"/>
            <w:tcBorders>
              <w:left w:val="single" w:color="auto" w:sz="4" w:space="0"/>
              <w:right w:val="single" w:color="auto" w:sz="4" w:space="0"/>
            </w:tcBorders>
            <w:noWrap w:val="0"/>
            <w:vAlign w:val="center"/>
          </w:tcPr>
          <w:p>
            <w:pPr>
              <w:adjustRightInd w:val="0"/>
              <w:snapToGrid w:val="0"/>
              <w:spacing w:line="240" w:lineRule="atLeast"/>
              <w:jc w:val="center"/>
              <w:rPr>
                <w:rFonts w:hint="default" w:ascii="Arial" w:hAnsi="Arial" w:cs="Arial"/>
                <w:i w:val="0"/>
                <w:iCs w:val="0"/>
                <w:caps w:val="0"/>
                <w:color w:val="333333"/>
                <w:spacing w:val="0"/>
                <w:sz w:val="24"/>
                <w:szCs w:val="24"/>
                <w:shd w:val="clear" w:fill="FFFFFF"/>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rPr>
                <w:rFonts w:ascii="宋体" w:hAnsi="宋体"/>
                <w:color w:val="000000"/>
                <w:szCs w:val="21"/>
              </w:rPr>
            </w:pPr>
            <w:r>
              <w:rPr>
                <w:rFonts w:hint="eastAsia" w:asciiTheme="minorHAnsi" w:hAnsiTheme="minorHAnsi" w:eastAsiaTheme="minorEastAsia" w:cstheme="minorBidi"/>
                <w:b w:val="0"/>
                <w:bCs w:val="0"/>
                <w:color w:val="auto"/>
                <w:kern w:val="2"/>
                <w:sz w:val="21"/>
                <w:szCs w:val="24"/>
                <w:lang w:val="en-US" w:eastAsia="zh-CN" w:bidi="ar-SA"/>
              </w:rPr>
              <w:t>系统对接</w:t>
            </w:r>
          </w:p>
        </w:tc>
        <w:tc>
          <w:tcPr>
            <w:tcW w:w="664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ascii="宋体" w:hAnsi="宋体"/>
                <w:color w:val="000000"/>
                <w:szCs w:val="21"/>
              </w:rPr>
            </w:pPr>
            <w:r>
              <w:rPr>
                <w:rFonts w:hint="eastAsia" w:asciiTheme="minorHAnsi" w:hAnsiTheme="minorHAnsi" w:eastAsiaTheme="minorEastAsia" w:cstheme="minorBidi"/>
                <w:b w:val="0"/>
                <w:bCs w:val="0"/>
                <w:color w:val="auto"/>
                <w:kern w:val="2"/>
                <w:sz w:val="21"/>
                <w:szCs w:val="24"/>
                <w:lang w:val="en-US" w:eastAsia="zh-CN" w:bidi="ar-SA"/>
              </w:rPr>
              <w:t>承诺使用的在线系统能与医院现有的HIS系统（医院信息系统）对接（后期根据院方需求是否对接），或者服务公司的APP/小程序开放权限给护理部、病区护士长，便于随时查看护理员工作进度、陪护服务完成情况。此项</w:t>
            </w:r>
            <w:r>
              <w:rPr>
                <w:rFonts w:hint="eastAsia" w:cstheme="minorBidi"/>
                <w:b w:val="0"/>
                <w:bCs w:val="0"/>
                <w:color w:val="auto"/>
                <w:kern w:val="2"/>
                <w:sz w:val="21"/>
                <w:szCs w:val="24"/>
                <w:lang w:val="en-US" w:eastAsia="zh-CN" w:bidi="ar-SA"/>
              </w:rPr>
              <w:t>5</w:t>
            </w:r>
            <w:r>
              <w:rPr>
                <w:rFonts w:hint="eastAsia" w:asciiTheme="minorHAnsi" w:hAnsiTheme="minorHAnsi" w:eastAsiaTheme="minorEastAsia" w:cstheme="minorBidi"/>
                <w:b w:val="0"/>
                <w:bCs w:val="0"/>
                <w:color w:val="auto"/>
                <w:kern w:val="2"/>
                <w:sz w:val="21"/>
                <w:szCs w:val="24"/>
                <w:lang w:val="en-US" w:eastAsia="zh-CN" w:bidi="ar-SA"/>
              </w:rPr>
              <w:t>分。</w:t>
            </w:r>
          </w:p>
        </w:tc>
        <w:tc>
          <w:tcPr>
            <w:tcW w:w="691"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240" w:lineRule="atLeast"/>
              <w:jc w:val="center"/>
              <w:rPr>
                <w:rFonts w:hint="eastAsia" w:ascii="宋体" w:hAnsi="宋体" w:eastAsiaTheme="minorEastAsia"/>
                <w:color w:val="000000"/>
                <w:szCs w:val="21"/>
                <w:lang w:val="en-US" w:eastAsia="zh-CN"/>
              </w:rPr>
            </w:pPr>
            <w:r>
              <w:rPr>
                <w:rFonts w:hint="eastAsia" w:ascii="宋体" w:hAnsi="宋体"/>
                <w:color w:val="000000"/>
                <w:szCs w:val="21"/>
                <w:lang w:val="en-US" w:eastAsia="zh-CN"/>
              </w:rPr>
              <w:t>5</w:t>
            </w:r>
          </w:p>
        </w:tc>
      </w:tr>
    </w:tbl>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注：主观分由评委分别打分，取评委评分的算术平均数（小数点后保留两位小数）作为投标单位的最终得分。</w:t>
      </w:r>
    </w:p>
    <w:p>
      <w:pPr>
        <w:spacing w:line="440" w:lineRule="exact"/>
        <w:rPr>
          <w:rFonts w:hint="eastAsia" w:ascii="宋体" w:hAnsi="宋体"/>
          <w:sz w:val="24"/>
        </w:rPr>
      </w:pPr>
      <w:r>
        <w:rPr>
          <w:rFonts w:hint="eastAsia" w:ascii="宋体" w:hAnsi="宋体"/>
          <w:sz w:val="24"/>
          <w:lang w:val="en-US" w:eastAsia="zh-CN"/>
        </w:rPr>
        <w:t>5</w:t>
      </w:r>
      <w:r>
        <w:rPr>
          <w:rFonts w:ascii="宋体" w:hAnsi="宋体"/>
          <w:sz w:val="24"/>
        </w:rPr>
        <w:t>.3商务标评审细则（</w:t>
      </w:r>
      <w:r>
        <w:rPr>
          <w:rFonts w:hint="eastAsia" w:ascii="宋体" w:hAnsi="宋体"/>
          <w:sz w:val="24"/>
        </w:rPr>
        <w:t>30</w:t>
      </w:r>
      <w:r>
        <w:rPr>
          <w:rFonts w:ascii="宋体" w:hAnsi="宋体"/>
          <w:sz w:val="24"/>
        </w:rPr>
        <w:t>分）</w:t>
      </w:r>
    </w:p>
    <w:tbl>
      <w:tblPr>
        <w:tblStyle w:val="6"/>
        <w:tblW w:w="1020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1041"/>
        <w:gridCol w:w="796"/>
        <w:gridCol w:w="6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441" w:type="dxa"/>
            <w:noWrap w:val="0"/>
            <w:vAlign w:val="center"/>
          </w:tcPr>
          <w:p>
            <w:pPr>
              <w:spacing w:line="440" w:lineRule="exact"/>
              <w:jc w:val="center"/>
              <w:rPr>
                <w:rFonts w:ascii="宋体" w:hAnsi="宋体"/>
                <w:sz w:val="24"/>
              </w:rPr>
            </w:pPr>
            <w:r>
              <w:rPr>
                <w:rFonts w:ascii="宋体" w:hAnsi="宋体"/>
                <w:sz w:val="24"/>
              </w:rPr>
              <w:t>序号</w:t>
            </w:r>
          </w:p>
        </w:tc>
        <w:tc>
          <w:tcPr>
            <w:tcW w:w="1041" w:type="dxa"/>
            <w:noWrap w:val="0"/>
            <w:vAlign w:val="center"/>
          </w:tcPr>
          <w:p>
            <w:pPr>
              <w:spacing w:line="440" w:lineRule="exact"/>
              <w:rPr>
                <w:rFonts w:ascii="宋体" w:hAnsi="宋体"/>
                <w:sz w:val="24"/>
              </w:rPr>
            </w:pPr>
            <w:r>
              <w:rPr>
                <w:rFonts w:ascii="宋体" w:hAnsi="宋体"/>
                <w:sz w:val="24"/>
              </w:rPr>
              <w:t>评分</w:t>
            </w:r>
          </w:p>
          <w:p>
            <w:pPr>
              <w:spacing w:line="440" w:lineRule="exact"/>
              <w:rPr>
                <w:rFonts w:ascii="宋体" w:hAnsi="宋体"/>
                <w:sz w:val="24"/>
              </w:rPr>
            </w:pPr>
            <w:r>
              <w:rPr>
                <w:rFonts w:ascii="宋体" w:hAnsi="宋体"/>
                <w:sz w:val="24"/>
              </w:rPr>
              <w:t>因素</w:t>
            </w:r>
          </w:p>
        </w:tc>
        <w:tc>
          <w:tcPr>
            <w:tcW w:w="796" w:type="dxa"/>
            <w:noWrap w:val="0"/>
            <w:vAlign w:val="center"/>
          </w:tcPr>
          <w:p>
            <w:pPr>
              <w:spacing w:line="440" w:lineRule="exact"/>
              <w:rPr>
                <w:rFonts w:ascii="宋体" w:hAnsi="宋体"/>
                <w:sz w:val="24"/>
              </w:rPr>
            </w:pPr>
            <w:r>
              <w:rPr>
                <w:rFonts w:ascii="宋体" w:hAnsi="宋体"/>
                <w:sz w:val="24"/>
              </w:rPr>
              <w:t>分值</w:t>
            </w:r>
          </w:p>
        </w:tc>
        <w:tc>
          <w:tcPr>
            <w:tcW w:w="6928" w:type="dxa"/>
            <w:noWrap w:val="0"/>
            <w:vAlign w:val="center"/>
          </w:tcPr>
          <w:p>
            <w:pPr>
              <w:spacing w:line="440" w:lineRule="exact"/>
              <w:jc w:val="center"/>
              <w:rPr>
                <w:rFonts w:ascii="宋体" w:hAnsi="宋体"/>
                <w:sz w:val="24"/>
              </w:rPr>
            </w:pPr>
            <w:r>
              <w:rPr>
                <w:rFonts w:ascii="宋体" w:hAnsi="宋体"/>
                <w:sz w:val="24"/>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1441" w:type="dxa"/>
            <w:noWrap w:val="0"/>
            <w:vAlign w:val="center"/>
          </w:tcPr>
          <w:p>
            <w:pPr>
              <w:spacing w:line="440" w:lineRule="exact"/>
              <w:jc w:val="center"/>
              <w:rPr>
                <w:rFonts w:ascii="宋体" w:hAnsi="宋体"/>
                <w:sz w:val="24"/>
              </w:rPr>
            </w:pPr>
            <w:r>
              <w:rPr>
                <w:rFonts w:ascii="宋体" w:hAnsi="宋体"/>
                <w:sz w:val="24"/>
              </w:rPr>
              <w:t>1</w:t>
            </w:r>
          </w:p>
        </w:tc>
        <w:tc>
          <w:tcPr>
            <w:tcW w:w="1041" w:type="dxa"/>
            <w:noWrap w:val="0"/>
            <w:vAlign w:val="center"/>
          </w:tcPr>
          <w:p>
            <w:pPr>
              <w:spacing w:line="440" w:lineRule="exact"/>
              <w:rPr>
                <w:rFonts w:ascii="宋体" w:hAnsi="宋体"/>
                <w:sz w:val="24"/>
              </w:rPr>
            </w:pPr>
            <w:r>
              <w:rPr>
                <w:rFonts w:ascii="宋体" w:hAnsi="宋体"/>
                <w:sz w:val="24"/>
              </w:rPr>
              <w:t>报价</w:t>
            </w:r>
          </w:p>
        </w:tc>
        <w:tc>
          <w:tcPr>
            <w:tcW w:w="796" w:type="dxa"/>
            <w:noWrap w:val="0"/>
            <w:vAlign w:val="center"/>
          </w:tcPr>
          <w:p>
            <w:pPr>
              <w:adjustRightInd w:val="0"/>
              <w:snapToGrid w:val="0"/>
              <w:spacing w:line="440" w:lineRule="exact"/>
              <w:jc w:val="center"/>
              <w:rPr>
                <w:rFonts w:ascii="宋体" w:hAnsi="宋体"/>
                <w:sz w:val="24"/>
              </w:rPr>
            </w:pPr>
            <w:r>
              <w:rPr>
                <w:rFonts w:hint="eastAsia" w:ascii="宋体" w:hAnsi="宋体"/>
                <w:sz w:val="24"/>
              </w:rPr>
              <w:t>30</w:t>
            </w:r>
            <w:r>
              <w:rPr>
                <w:rFonts w:ascii="宋体" w:hAnsi="宋体"/>
                <w:sz w:val="24"/>
              </w:rPr>
              <w:t>分</w:t>
            </w:r>
          </w:p>
        </w:tc>
        <w:tc>
          <w:tcPr>
            <w:tcW w:w="6928" w:type="dxa"/>
            <w:noWrap w:val="0"/>
            <w:vAlign w:val="center"/>
          </w:tcPr>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default"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1、</w:t>
            </w:r>
            <w:r>
              <w:rPr>
                <w:rFonts w:hint="default" w:asciiTheme="minorHAnsi" w:hAnsiTheme="minorHAnsi" w:eastAsiaTheme="minorEastAsia" w:cstheme="minorBidi"/>
                <w:b w:val="0"/>
                <w:bCs w:val="0"/>
                <w:color w:val="auto"/>
                <w:kern w:val="2"/>
                <w:sz w:val="21"/>
                <w:szCs w:val="24"/>
                <w:lang w:val="en-US" w:eastAsia="zh-CN" w:bidi="ar-SA"/>
              </w:rPr>
              <w:t>采用</w:t>
            </w:r>
            <w:r>
              <w:rPr>
                <w:rFonts w:hint="eastAsia" w:asciiTheme="minorHAnsi" w:hAnsiTheme="minorHAnsi" w:eastAsiaTheme="minorEastAsia" w:cstheme="minorBidi"/>
                <w:b w:val="0"/>
                <w:bCs w:val="0"/>
                <w:color w:val="auto"/>
                <w:kern w:val="2"/>
                <w:sz w:val="21"/>
                <w:szCs w:val="24"/>
                <w:lang w:val="en-US" w:eastAsia="zh-CN" w:bidi="ar-SA"/>
              </w:rPr>
              <w:t>高价优先法</w:t>
            </w:r>
            <w:r>
              <w:rPr>
                <w:rFonts w:hint="default" w:asciiTheme="minorHAnsi" w:hAnsiTheme="minorHAnsi" w:eastAsiaTheme="minorEastAsia" w:cstheme="minorBidi"/>
                <w:b w:val="0"/>
                <w:bCs w:val="0"/>
                <w:color w:val="auto"/>
                <w:kern w:val="2"/>
                <w:sz w:val="21"/>
                <w:szCs w:val="24"/>
                <w:lang w:val="en-US" w:eastAsia="zh-CN" w:bidi="ar-SA"/>
              </w:rPr>
              <w:t>计算。</w:t>
            </w:r>
            <w:r>
              <w:rPr>
                <w:rFonts w:hint="eastAsia" w:asciiTheme="minorHAnsi" w:hAnsiTheme="minorHAnsi" w:eastAsiaTheme="minorEastAsia" w:cstheme="minorBidi"/>
                <w:b w:val="0"/>
                <w:bCs w:val="0"/>
                <w:color w:val="auto"/>
                <w:kern w:val="2"/>
                <w:sz w:val="21"/>
                <w:szCs w:val="24"/>
                <w:lang w:val="en-US" w:eastAsia="zh-CN" w:bidi="ar-SA"/>
              </w:rPr>
              <w:t>计算公式</w:t>
            </w:r>
            <w:r>
              <w:rPr>
                <w:rFonts w:hint="default" w:asciiTheme="minorHAnsi" w:hAnsiTheme="minorHAnsi" w:eastAsiaTheme="minorEastAsia" w:cstheme="minorBidi"/>
                <w:b w:val="0"/>
                <w:bCs w:val="0"/>
                <w:color w:val="auto"/>
                <w:kern w:val="2"/>
                <w:sz w:val="21"/>
                <w:szCs w:val="24"/>
                <w:lang w:val="en-US" w:eastAsia="zh-CN" w:bidi="ar-SA"/>
              </w:rPr>
              <w:t>：投标报价得分 = （ 投标报价/评标基准价） × 价格权重（30%）。</w:t>
            </w:r>
            <w:r>
              <w:rPr>
                <w:rFonts w:hint="eastAsia" w:asciiTheme="minorHAnsi" w:hAnsiTheme="minorHAnsi" w:eastAsiaTheme="minorEastAsia" w:cstheme="minorBidi"/>
                <w:b w:val="0"/>
                <w:bCs w:val="0"/>
                <w:color w:val="auto"/>
                <w:kern w:val="2"/>
                <w:sz w:val="21"/>
                <w:szCs w:val="24"/>
                <w:lang w:val="en-US" w:eastAsia="zh-CN" w:bidi="ar-SA"/>
              </w:rPr>
              <w:t>评标基准价</w:t>
            </w:r>
            <w:r>
              <w:rPr>
                <w:rFonts w:hint="default" w:asciiTheme="minorHAnsi" w:hAnsiTheme="minorHAnsi" w:eastAsiaTheme="minorEastAsia" w:cstheme="minorBidi"/>
                <w:b w:val="0"/>
                <w:bCs w:val="0"/>
                <w:color w:val="auto"/>
                <w:kern w:val="2"/>
                <w:sz w:val="21"/>
                <w:szCs w:val="24"/>
                <w:lang w:val="en-US" w:eastAsia="zh-CN" w:bidi="ar-SA"/>
              </w:rPr>
              <w:t>：指满足招标文件要求且</w:t>
            </w:r>
            <w:r>
              <w:rPr>
                <w:rFonts w:hint="eastAsia" w:asciiTheme="minorHAnsi" w:hAnsiTheme="minorHAnsi" w:eastAsiaTheme="minorEastAsia" w:cstheme="minorBidi"/>
                <w:b w:val="0"/>
                <w:bCs w:val="0"/>
                <w:color w:val="auto"/>
                <w:kern w:val="2"/>
                <w:sz w:val="21"/>
                <w:szCs w:val="24"/>
                <w:lang w:val="en-US" w:eastAsia="zh-CN" w:bidi="ar-SA"/>
              </w:rPr>
              <w:t>最高的投标报价</w:t>
            </w:r>
            <w:r>
              <w:rPr>
                <w:rFonts w:hint="default" w:asciiTheme="minorHAnsi" w:hAnsiTheme="minorHAnsi" w:eastAsiaTheme="minorEastAsia" w:cstheme="minorBidi"/>
                <w:b w:val="0"/>
                <w:bCs w:val="0"/>
                <w:color w:val="auto"/>
                <w:kern w:val="2"/>
                <w:sz w:val="21"/>
                <w:szCs w:val="24"/>
                <w:lang w:val="en-US" w:eastAsia="zh-CN" w:bidi="ar-SA"/>
              </w:rPr>
              <w:t>。</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asciiTheme="minorHAnsi" w:hAnsiTheme="minorHAnsi" w:eastAsiaTheme="minorEastAsia" w:cstheme="minorBidi"/>
                <w:b w:val="0"/>
                <w:bCs w:val="0"/>
                <w:color w:val="auto"/>
                <w:kern w:val="2"/>
                <w:sz w:val="21"/>
                <w:szCs w:val="24"/>
                <w:lang w:val="en-US" w:eastAsia="zh-CN" w:bidi="ar-SA"/>
              </w:rPr>
            </w:pPr>
            <w:r>
              <w:rPr>
                <w:rFonts w:hint="eastAsia" w:asciiTheme="minorHAnsi" w:hAnsiTheme="minorHAnsi" w:eastAsiaTheme="minorEastAsia" w:cstheme="minorBidi"/>
                <w:b w:val="0"/>
                <w:bCs w:val="0"/>
                <w:color w:val="auto"/>
                <w:kern w:val="2"/>
                <w:sz w:val="21"/>
                <w:szCs w:val="24"/>
                <w:lang w:val="en-US" w:eastAsia="zh-CN" w:bidi="ar-SA"/>
              </w:rPr>
              <w:t>2、本项分值由评标委员会计算。</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right="0"/>
              <w:jc w:val="left"/>
              <w:textAlignment w:val="auto"/>
              <w:rPr>
                <w:rFonts w:hint="eastAsia"/>
              </w:rPr>
            </w:pPr>
            <w:r>
              <w:rPr>
                <w:rFonts w:hint="eastAsia" w:asciiTheme="minorHAnsi" w:hAnsiTheme="minorHAnsi" w:eastAsiaTheme="minorEastAsia" w:cstheme="minorBidi"/>
                <w:b w:val="0"/>
                <w:bCs w:val="0"/>
                <w:color w:val="auto"/>
                <w:kern w:val="2"/>
                <w:sz w:val="21"/>
                <w:szCs w:val="24"/>
                <w:lang w:val="en-US" w:eastAsia="zh-CN" w:bidi="ar-SA"/>
              </w:rPr>
              <w:t>3、防止低于成本价不正当竞争，在评标过程中，投标供应商的综合报价明显不能满足询价人在服务要求中所列的应支付的相关费用的，有可能影响服务质量或者不能诚信履约的，评标委员会应当要求其在合理的时间内提供成本构成书面说明，并提交相关证明材料。供应商书面说明应当按照国家财务会计制度的规定要求，逐项就供应商提供的服务成本、税金及附加、管理费用、财务费用等成本构成事项详细陈述。</w:t>
            </w:r>
          </w:p>
        </w:tc>
      </w:tr>
    </w:tbl>
    <w:p>
      <w:pPr>
        <w:pStyle w:val="4"/>
        <w:keepNext w:val="0"/>
        <w:keepLines w:val="0"/>
        <w:widowControl/>
        <w:suppressLineNumbers w:val="0"/>
        <w:shd w:val="clear" w:fill="FFFFFF"/>
        <w:spacing w:before="0" w:beforeAutospacing="0" w:after="0" w:afterAutospacing="0" w:line="26" w:lineRule="atLeast"/>
        <w:ind w:left="0" w:right="0" w:firstLine="0"/>
        <w:rPr>
          <w:rFonts w:hint="default" w:ascii="Arial" w:hAnsi="Arial" w:cs="Arial"/>
          <w:i w:val="0"/>
          <w:iCs w:val="0"/>
          <w:caps w:val="0"/>
          <w:color w:val="333333"/>
          <w:spacing w:val="0"/>
          <w:sz w:val="24"/>
          <w:szCs w:val="24"/>
          <w:shd w:val="clear" w:fill="FFFFFF"/>
          <w:lang w:val="en-US"/>
        </w:rPr>
      </w:pPr>
    </w:p>
    <w:p>
      <w:pPr>
        <w:pStyle w:val="4"/>
        <w:keepNext w:val="0"/>
        <w:keepLines w:val="0"/>
        <w:widowControl/>
        <w:suppressLineNumbers w:val="0"/>
        <w:shd w:val="clear" w:fill="FFFFFF"/>
        <w:spacing w:before="0" w:beforeAutospacing="0" w:after="0" w:afterAutospacing="0" w:line="26" w:lineRule="atLeast"/>
        <w:ind w:left="0" w:right="0" w:firstLine="0"/>
        <w:rPr>
          <w:rFonts w:hint="default" w:ascii="Arial" w:hAnsi="Arial" w:cs="Arial"/>
          <w:i w:val="0"/>
          <w:iCs w:val="0"/>
          <w:caps w:val="0"/>
          <w:color w:val="333333"/>
          <w:spacing w:val="0"/>
          <w:sz w:val="24"/>
          <w:szCs w:val="24"/>
          <w:shd w:val="clear" w:fill="FFFFFF"/>
          <w:lang w:val="en-US"/>
        </w:rPr>
      </w:pPr>
    </w:p>
    <w:p>
      <w:pPr>
        <w:keepNext w:val="0"/>
        <w:keepLines w:val="0"/>
        <w:widowControl/>
        <w:suppressLineNumbers w:val="0"/>
        <w:shd w:val="clear" w:fill="FFFFFF"/>
        <w:spacing w:before="0" w:beforeAutospacing="0" w:after="0" w:afterAutospacing="0" w:line="23" w:lineRule="atLeast"/>
        <w:ind w:left="0" w:right="0" w:firstLine="482"/>
        <w:jc w:val="left"/>
        <w:rPr>
          <w:rFonts w:hint="default" w:ascii="Arial" w:hAnsi="Arial" w:cs="Arial"/>
          <w:i w:val="0"/>
          <w:iCs w:val="0"/>
          <w:caps w:val="0"/>
          <w:color w:val="333333"/>
          <w:spacing w:val="0"/>
          <w:sz w:val="27"/>
          <w:szCs w:val="27"/>
        </w:rPr>
      </w:pPr>
      <w:r>
        <w:rPr>
          <w:rFonts w:hint="default" w:ascii="Arial" w:hAnsi="Arial" w:cs="Arial"/>
          <w:i w:val="0"/>
          <w:iCs w:val="0"/>
          <w:caps w:val="0"/>
          <w:color w:val="333333"/>
          <w:spacing w:val="0"/>
          <w:sz w:val="24"/>
          <w:szCs w:val="24"/>
          <w:shd w:val="clear" w:fill="FFFFFF"/>
          <w:lang w:val="en-US"/>
        </w:rPr>
        <w:t xml:space="preserve">  </w:t>
      </w:r>
      <w:r>
        <w:rPr>
          <w:rStyle w:val="9"/>
          <w:rFonts w:hint="eastAsia" w:ascii="宋体" w:hAnsi="宋体" w:eastAsia="宋体" w:cs="宋体"/>
          <w:b/>
          <w:bCs/>
          <w:i w:val="0"/>
          <w:iCs w:val="0"/>
          <w:caps w:val="0"/>
          <w:color w:val="333333"/>
          <w:spacing w:val="0"/>
          <w:kern w:val="0"/>
          <w:sz w:val="24"/>
          <w:szCs w:val="24"/>
          <w:shd w:val="clear" w:fill="FFFFFF"/>
          <w:lang w:val="en-US" w:eastAsia="zh-CN" w:bidi="ar"/>
        </w:rPr>
        <w:t>                                   </w:t>
      </w:r>
    </w:p>
    <w:p>
      <w:pPr>
        <w:keepNext w:val="0"/>
        <w:keepLines w:val="0"/>
        <w:widowControl/>
        <w:suppressLineNumbers w:val="0"/>
        <w:shd w:val="clear" w:fill="FFFFFF"/>
        <w:spacing w:before="0" w:beforeAutospacing="0" w:after="0" w:afterAutospacing="0" w:line="23" w:lineRule="atLeast"/>
        <w:ind w:left="0" w:right="0" w:firstLine="480"/>
        <w:jc w:val="right"/>
        <w:rPr>
          <w:rFonts w:hint="default" w:ascii="Arial" w:hAnsi="Arial" w:cs="Arial"/>
          <w:i w:val="0"/>
          <w:iCs w:val="0"/>
          <w:caps w:val="0"/>
          <w:color w:val="333333"/>
          <w:spacing w:val="0"/>
          <w:sz w:val="27"/>
          <w:szCs w:val="27"/>
          <w:highlight w:val="yellow"/>
        </w:rPr>
      </w:pPr>
      <w:r>
        <w:rPr>
          <w:rFonts w:hint="eastAsia" w:ascii="宋体" w:hAnsi="宋体" w:eastAsia="宋体" w:cs="宋体"/>
          <w:i w:val="0"/>
          <w:iCs w:val="0"/>
          <w:caps w:val="0"/>
          <w:color w:val="333333"/>
          <w:spacing w:val="0"/>
          <w:kern w:val="0"/>
          <w:sz w:val="24"/>
          <w:szCs w:val="24"/>
          <w:highlight w:val="yellow"/>
          <w:shd w:val="clear" w:fill="FFFFFF"/>
          <w:lang w:val="en-US" w:eastAsia="zh-CN" w:bidi="ar"/>
        </w:rPr>
        <w:t>2026年10月09日</w:t>
      </w:r>
    </w:p>
    <w:p>
      <w:pPr>
        <w:keepNext w:val="0"/>
        <w:keepLines w:val="0"/>
        <w:widowControl/>
        <w:suppressLineNumbers w:val="0"/>
        <w:shd w:val="clear" w:fill="FFFFFF"/>
        <w:spacing w:before="0" w:beforeAutospacing="0" w:after="0" w:afterAutospacing="0" w:line="23" w:lineRule="atLeast"/>
        <w:ind w:left="0" w:right="0" w:firstLine="480"/>
        <w:jc w:val="right"/>
        <w:rPr>
          <w:rFonts w:hint="default" w:ascii="Arial" w:hAnsi="Arial" w:cs="Arial"/>
          <w:i w:val="0"/>
          <w:iCs w:val="0"/>
          <w:caps w:val="0"/>
          <w:color w:val="333333"/>
          <w:spacing w:val="0"/>
          <w:sz w:val="27"/>
          <w:szCs w:val="27"/>
        </w:rPr>
      </w:pPr>
      <w:r>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t> </w:t>
      </w: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t>附件1： </w:t>
      </w:r>
    </w:p>
    <w:p>
      <w:pPr>
        <w:keepNext w:val="0"/>
        <w:keepLines w:val="0"/>
        <w:widowControl/>
        <w:suppressLineNumbers w:val="0"/>
        <w:shd w:val="clear" w:fill="FFFFFF"/>
        <w:spacing w:before="0" w:beforeAutospacing="0" w:after="0" w:afterAutospacing="0" w:line="23" w:lineRule="atLeast"/>
        <w:ind w:right="0"/>
        <w:jc w:val="center"/>
        <w:rPr>
          <w:rStyle w:val="9"/>
          <w:rFonts w:hint="eastAsia" w:ascii="宋体" w:hAnsi="宋体" w:eastAsia="宋体" w:cs="宋体"/>
          <w:b/>
          <w:bCs/>
          <w:i w:val="0"/>
          <w:iCs w:val="0"/>
          <w:caps w:val="0"/>
          <w:color w:val="333333"/>
          <w:spacing w:val="0"/>
          <w:kern w:val="0"/>
          <w:sz w:val="28"/>
          <w:szCs w:val="28"/>
          <w:shd w:val="clear" w:fill="FFFFFF"/>
          <w:lang w:val="en-US" w:eastAsia="zh-CN" w:bidi="ar"/>
        </w:rPr>
      </w:pPr>
      <w:r>
        <w:rPr>
          <w:rStyle w:val="9"/>
          <w:rFonts w:hint="eastAsia" w:ascii="宋体" w:hAnsi="宋体" w:eastAsia="宋体" w:cs="宋体"/>
          <w:b/>
          <w:bCs/>
          <w:i w:val="0"/>
          <w:iCs w:val="0"/>
          <w:caps w:val="0"/>
          <w:color w:val="333333"/>
          <w:spacing w:val="0"/>
          <w:kern w:val="0"/>
          <w:sz w:val="28"/>
          <w:szCs w:val="28"/>
          <w:shd w:val="clear" w:fill="FFFFFF"/>
          <w:lang w:val="en-US" w:eastAsia="zh-CN" w:bidi="ar"/>
        </w:rPr>
        <w:t>天长市中医院护理员每日基本工作流程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5"/>
        <w:gridCol w:w="8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center"/>
              <w:rPr>
                <w:rStyle w:val="9"/>
                <w:rFonts w:hint="default"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时间</w:t>
            </w:r>
          </w:p>
        </w:tc>
        <w:tc>
          <w:tcPr>
            <w:tcW w:w="8035" w:type="dxa"/>
          </w:tcPr>
          <w:p>
            <w:pPr>
              <w:keepNext w:val="0"/>
              <w:keepLines w:val="0"/>
              <w:widowControl/>
              <w:suppressLineNumbers w:val="0"/>
              <w:spacing w:before="0" w:beforeAutospacing="0" w:after="0" w:afterAutospacing="0" w:line="23" w:lineRule="atLeast"/>
              <w:ind w:right="0"/>
              <w:jc w:val="center"/>
              <w:rPr>
                <w:rStyle w:val="9"/>
                <w:rFonts w:hint="default"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0" w:type="dxa"/>
            <w:gridSpan w:val="2"/>
          </w:tcPr>
          <w:p>
            <w:pPr>
              <w:keepNext w:val="0"/>
              <w:keepLines w:val="0"/>
              <w:widowControl/>
              <w:suppressLineNumbers w:val="0"/>
              <w:spacing w:before="0" w:beforeAutospacing="0" w:after="0" w:afterAutospacing="0" w:line="23" w:lineRule="atLeast"/>
              <w:ind w:right="0"/>
              <w:jc w:val="cente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bCs/>
                <w:i w:val="0"/>
                <w:iCs w:val="0"/>
                <w:caps w:val="0"/>
                <w:color w:val="333333"/>
                <w:spacing w:val="0"/>
                <w:kern w:val="0"/>
                <w:sz w:val="24"/>
                <w:szCs w:val="24"/>
                <w:shd w:val="clear" w:fill="FFFFFF"/>
                <w:vertAlign w:val="baseline"/>
                <w:lang w:val="en-US" w:eastAsia="zh-CN" w:bidi="ar"/>
              </w:rPr>
              <w:t>日班（07:00-18:00）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07:00-7:30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帮助病人刷牙、洗脸、洗手、梳头、冲水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07:30-11:00</w:t>
            </w:r>
          </w:p>
        </w:tc>
        <w:tc>
          <w:tcPr>
            <w:tcW w:w="8035" w:type="dxa"/>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协助病人进早餐、洗碗;</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整理床单元、保持病房整洁;</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巡视病房、看护吊水、协助病人大小便、发现异常立即与医生、护士联系;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Chars="0" w:right="0" w:rightChars="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4、协助患者行走或简易功能锻炼。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11:00-12:00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打饭并协助进中餐、负责做好餐后清洁。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12:00-17:00</w:t>
            </w:r>
          </w:p>
        </w:tc>
        <w:tc>
          <w:tcPr>
            <w:tcW w:w="8035" w:type="dxa"/>
          </w:tcPr>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巡视病房、协助病人大小便、冲开水;</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整理床单元、保持病房整洁;</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400" w:lineRule="exact"/>
              <w:ind w:right="0"/>
              <w:jc w:val="both"/>
              <w:textAlignment w:val="auto"/>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冬季洗脚、夏季擦澡、冲水。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17:00-18:00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打饭并协助进晚餐、负责做好餐后清洁。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50" w:type="dxa"/>
            <w:gridSpan w:val="2"/>
          </w:tcPr>
          <w:p>
            <w:pPr>
              <w:keepNext w:val="0"/>
              <w:keepLines w:val="0"/>
              <w:widowControl/>
              <w:suppressLineNumbers w:val="0"/>
              <w:spacing w:before="0" w:beforeAutospacing="0" w:after="0" w:afterAutospacing="0" w:line="23" w:lineRule="atLeast"/>
              <w:ind w:right="0"/>
              <w:jc w:val="cente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bCs/>
                <w:i w:val="0"/>
                <w:iCs w:val="0"/>
                <w:caps w:val="0"/>
                <w:color w:val="333333"/>
                <w:spacing w:val="0"/>
                <w:kern w:val="0"/>
                <w:sz w:val="24"/>
                <w:szCs w:val="24"/>
                <w:shd w:val="clear" w:fill="FFFFFF"/>
                <w:vertAlign w:val="baseline"/>
                <w:lang w:val="en-US" w:eastAsia="zh-CN" w:bidi="ar"/>
              </w:rPr>
              <w:t>夜班（18:00-次日7:00）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18:00-19:30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协助进晚餐、负责做好餐后清洁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19:30-06:00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巡视病房、协助病人大小便、协助进夜宵、帮助病人刷牙、洗头、梳头。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06:00-07:00</w:t>
            </w:r>
          </w:p>
        </w:tc>
        <w:tc>
          <w:tcPr>
            <w:tcW w:w="8035" w:type="dxa"/>
          </w:tcPr>
          <w:p>
            <w:pPr>
              <w:keepNext w:val="0"/>
              <w:keepLines w:val="0"/>
              <w:widowControl/>
              <w:suppressLineNumbers w:val="0"/>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vertAlign w:val="baseline"/>
                <w:lang w:val="en-US" w:eastAsia="zh-CN" w:bidi="ar"/>
              </w:rPr>
              <w:t>协助日班生活护理员进行时晨间护理</w:t>
            </w:r>
          </w:p>
        </w:tc>
      </w:tr>
    </w:tbl>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pPr>
    </w:p>
    <w:p>
      <w:pPr>
        <w:keepNext w:val="0"/>
        <w:keepLines w:val="0"/>
        <w:widowControl/>
        <w:suppressLineNumbers w:val="0"/>
        <w:shd w:val="clear" w:fill="FFFFFF"/>
        <w:spacing w:before="0" w:beforeAutospacing="0" w:after="0" w:afterAutospacing="0" w:line="23" w:lineRule="atLeast"/>
        <w:ind w:right="0"/>
        <w:jc w:val="both"/>
        <w:rPr>
          <w:rStyle w:val="9"/>
          <w:rFonts w:hint="default" w:ascii="宋体" w:hAnsi="宋体" w:eastAsia="宋体" w:cs="宋体"/>
          <w:b w:val="0"/>
          <w:bCs w:val="0"/>
          <w:i w:val="0"/>
          <w:iCs w:val="0"/>
          <w:caps w:val="0"/>
          <w:color w:val="333333"/>
          <w:spacing w:val="0"/>
          <w:kern w:val="0"/>
          <w:sz w:val="24"/>
          <w:szCs w:val="24"/>
          <w:shd w:val="clear" w:fill="FFFFFF"/>
          <w:lang w:val="en-US" w:eastAsia="zh-CN" w:bidi="ar"/>
        </w:rPr>
      </w:pPr>
      <w:r>
        <w:rPr>
          <w:rStyle w:val="9"/>
          <w:rFonts w:hint="eastAsia" w:ascii="宋体" w:hAnsi="宋体" w:eastAsia="宋体" w:cs="宋体"/>
          <w:b w:val="0"/>
          <w:bCs w:val="0"/>
          <w:i w:val="0"/>
          <w:iCs w:val="0"/>
          <w:caps w:val="0"/>
          <w:color w:val="333333"/>
          <w:spacing w:val="0"/>
          <w:kern w:val="0"/>
          <w:sz w:val="24"/>
          <w:szCs w:val="24"/>
          <w:shd w:val="clear" w:fill="FFFFFF"/>
          <w:lang w:val="en-US" w:eastAsia="zh-CN" w:bidi="ar"/>
        </w:rPr>
        <w:t>附件2： </w:t>
      </w:r>
    </w:p>
    <w:tbl>
      <w:tblPr>
        <w:tblStyle w:val="6"/>
        <w:tblW w:w="93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22"/>
        <w:gridCol w:w="606"/>
        <w:gridCol w:w="1042"/>
        <w:gridCol w:w="5790"/>
        <w:gridCol w:w="510"/>
        <w:gridCol w:w="6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trPr>
        <w:tc>
          <w:tcPr>
            <w:tcW w:w="9385" w:type="dxa"/>
            <w:gridSpan w:val="6"/>
            <w:tcBorders>
              <w:top w:val="single" w:color="333333" w:sz="6" w:space="0"/>
              <w:left w:val="single" w:color="333333" w:sz="6" w:space="0"/>
              <w:bottom w:val="single" w:color="333333" w:sz="6" w:space="0"/>
              <w:right w:val="single" w:color="333333" w:sz="6"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center"/>
              <w:textAlignment w:val="center"/>
            </w:pPr>
            <w:r>
              <w:rPr>
                <w:rFonts w:hint="eastAsia" w:ascii="宋体" w:hAnsi="宋体" w:eastAsia="宋体" w:cs="宋体"/>
                <w:b/>
                <w:bCs/>
                <w:i w:val="0"/>
                <w:iCs w:val="0"/>
                <w:caps w:val="0"/>
                <w:color w:val="333333"/>
                <w:spacing w:val="0"/>
                <w:kern w:val="0"/>
                <w:sz w:val="28"/>
                <w:szCs w:val="28"/>
                <w:lang w:val="en-US" w:eastAsia="zh-CN" w:bidi="ar"/>
              </w:rPr>
              <w:t>天长市中医院无陪护病房陪护服务考核表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9" w:hRule="atLeast"/>
        </w:trPr>
        <w:tc>
          <w:tcPr>
            <w:tcW w:w="822"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考核项目</w:t>
            </w:r>
          </w:p>
        </w:tc>
        <w:tc>
          <w:tcPr>
            <w:tcW w:w="606"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分值</w:t>
            </w:r>
          </w:p>
        </w:tc>
        <w:tc>
          <w:tcPr>
            <w:tcW w:w="1042"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考核</w:t>
            </w:r>
          </w:p>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指标</w:t>
            </w:r>
          </w:p>
        </w:tc>
        <w:tc>
          <w:tcPr>
            <w:tcW w:w="5790"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评分标准</w:t>
            </w:r>
          </w:p>
        </w:tc>
        <w:tc>
          <w:tcPr>
            <w:tcW w:w="510"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扣分</w:t>
            </w:r>
          </w:p>
        </w:tc>
        <w:tc>
          <w:tcPr>
            <w:tcW w:w="615" w:type="dxa"/>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56" w:hRule="atLeast"/>
        </w:trPr>
        <w:tc>
          <w:tcPr>
            <w:tcW w:w="822"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一、</w:t>
            </w:r>
          </w:p>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护理员团队管理</w:t>
            </w:r>
          </w:p>
        </w:tc>
        <w:tc>
          <w:tcPr>
            <w:tcW w:w="606" w:type="dxa"/>
            <w:vMerge w:val="restart"/>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25</w:t>
            </w:r>
            <w:r>
              <w:rPr>
                <w:rFonts w:hint="eastAsia" w:ascii="宋体" w:hAnsi="宋体" w:eastAsia="宋体" w:cs="宋体"/>
                <w:i w:val="0"/>
                <w:iCs w:val="0"/>
                <w:caps w:val="0"/>
                <w:color w:val="333333"/>
                <w:spacing w:val="0"/>
                <w:kern w:val="0"/>
                <w:sz w:val="22"/>
                <w:szCs w:val="22"/>
                <w:lang w:val="en-US" w:eastAsia="zh-CN" w:bidi="ar"/>
              </w:rPr>
              <w:t>分</w:t>
            </w: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1. 人员资质合规</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护理员均持有效健康证、护理从业资格证</w:t>
            </w:r>
            <w:r>
              <w:rPr>
                <w:rFonts w:hint="default" w:ascii="Arial" w:hAnsi="Arial" w:cs="Arial" w:eastAsiaTheme="minorEastAsia"/>
                <w:i w:val="0"/>
                <w:iCs w:val="0"/>
                <w:caps w:val="0"/>
                <w:color w:val="333333"/>
                <w:spacing w:val="0"/>
                <w:kern w:val="0"/>
                <w:sz w:val="22"/>
                <w:szCs w:val="22"/>
                <w:lang w:val="en-US" w:eastAsia="zh-CN" w:bidi="ar"/>
              </w:rPr>
              <w:t>/培训合格证上岗，无无证上岗情况；人员信息备案完整，及时上报变动情况。每发现1人无证扣5分，信息备案不全扣3分。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2. 人员配置达标</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严格按照合同约定配置免陪照护护理员人数，满足病区照护需求，无缺岗、顶岗现象。缺岗</w:t>
            </w:r>
            <w:r>
              <w:rPr>
                <w:rFonts w:hint="default" w:ascii="Arial" w:hAnsi="Arial" w:cs="Arial" w:eastAsiaTheme="minorEastAsia"/>
                <w:i w:val="0"/>
                <w:iCs w:val="0"/>
                <w:caps w:val="0"/>
                <w:color w:val="333333"/>
                <w:spacing w:val="0"/>
                <w:kern w:val="0"/>
                <w:sz w:val="22"/>
                <w:szCs w:val="22"/>
                <w:lang w:val="en-US" w:eastAsia="zh-CN" w:bidi="ar"/>
              </w:rPr>
              <w:t>1人次扣4分，顶岗不符合要求扣3分。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3. 岗前与在岗培训</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定期开展护理员岗前培训、在岗技能提升培训、院感知识、安全规范培训，有完整培训计划、签到表、考核记录。未按要求开展培训扣</w:t>
            </w:r>
            <w:r>
              <w:rPr>
                <w:rFonts w:hint="default" w:ascii="Arial" w:hAnsi="Arial" w:cs="Arial" w:eastAsiaTheme="minorEastAsia"/>
                <w:i w:val="0"/>
                <w:iCs w:val="0"/>
                <w:caps w:val="0"/>
                <w:color w:val="333333"/>
                <w:spacing w:val="0"/>
                <w:kern w:val="0"/>
                <w:sz w:val="22"/>
                <w:szCs w:val="22"/>
                <w:lang w:val="en-US" w:eastAsia="zh-CN" w:bidi="ar"/>
              </w:rPr>
              <w:t>5分，培训资料缺失扣2-4分。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4. 人员纪律管理</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护理员遵守医院规章制度，无迟到、早退、擅自离岗、扎堆聊天、上班玩手机等情况。每发现</w:t>
            </w:r>
            <w:r>
              <w:rPr>
                <w:rFonts w:hint="default" w:ascii="Arial" w:hAnsi="Arial" w:cs="Arial" w:eastAsiaTheme="minorEastAsia"/>
                <w:i w:val="0"/>
                <w:iCs w:val="0"/>
                <w:caps w:val="0"/>
                <w:color w:val="333333"/>
                <w:spacing w:val="0"/>
                <w:kern w:val="0"/>
                <w:sz w:val="22"/>
                <w:szCs w:val="22"/>
                <w:lang w:val="en-US" w:eastAsia="zh-CN" w:bidi="ar"/>
              </w:rPr>
              <w:t>1人次违规扣2分，屡教不改加倍扣分。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2" w:hRule="atLeast"/>
        </w:trPr>
        <w:tc>
          <w:tcPr>
            <w:tcW w:w="822"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二、</w:t>
            </w:r>
          </w:p>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照护服务质量</w:t>
            </w:r>
          </w:p>
        </w:tc>
        <w:tc>
          <w:tcPr>
            <w:tcW w:w="606" w:type="dxa"/>
            <w:vMerge w:val="restart"/>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30</w:t>
            </w:r>
            <w:r>
              <w:rPr>
                <w:rFonts w:hint="eastAsia" w:ascii="宋体" w:hAnsi="宋体" w:eastAsia="宋体" w:cs="宋体"/>
                <w:i w:val="0"/>
                <w:iCs w:val="0"/>
                <w:caps w:val="0"/>
                <w:color w:val="333333"/>
                <w:spacing w:val="0"/>
                <w:kern w:val="0"/>
                <w:sz w:val="22"/>
                <w:szCs w:val="22"/>
                <w:lang w:val="en-US" w:eastAsia="zh-CN" w:bidi="ar"/>
              </w:rPr>
              <w:t>分</w:t>
            </w: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1. 基础生活照护</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规范完成患者床单位整理、口腔护理、皮肤清洁、更衣换被、协助进食饮水、翻身拍背、排泄护理等，服务到位无遗漏。一项服务不规范扣</w:t>
            </w:r>
            <w:r>
              <w:rPr>
                <w:rFonts w:hint="default" w:ascii="Arial" w:hAnsi="Arial" w:cs="Arial" w:eastAsiaTheme="minorEastAsia"/>
                <w:i w:val="0"/>
                <w:iCs w:val="0"/>
                <w:caps w:val="0"/>
                <w:color w:val="333333"/>
                <w:spacing w:val="0"/>
                <w:kern w:val="0"/>
                <w:sz w:val="22"/>
                <w:szCs w:val="22"/>
                <w:lang w:val="en-US" w:eastAsia="zh-CN" w:bidi="ar"/>
              </w:rPr>
              <w:t>3分，患者投诉照护不到位扣5分。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0"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2. 压力性损伤预防护理</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严格落实翻身制度，定时为卧床患者翻身，受压部位护理规范，无因照护不当导致的压力性损伤。发生1例可避免压力性损伤扣10分，翻身记录不全扣3分。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2"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3. 服务态度与礼仪</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护理员文明用语、态度亲和、着装整洁，尊重患者隐私，无推诿、敷衍、与患者</w:t>
            </w:r>
            <w:r>
              <w:rPr>
                <w:rFonts w:hint="default" w:ascii="Arial" w:hAnsi="Arial" w:cs="Arial" w:eastAsiaTheme="minorEastAsia"/>
                <w:i w:val="0"/>
                <w:iCs w:val="0"/>
                <w:caps w:val="0"/>
                <w:color w:val="333333"/>
                <w:spacing w:val="0"/>
                <w:kern w:val="0"/>
                <w:sz w:val="22"/>
                <w:szCs w:val="22"/>
                <w:lang w:val="en-US" w:eastAsia="zh-CN" w:bidi="ar"/>
              </w:rPr>
              <w:t>/家属争吵情况。发生1起服务投诉扣4分，态度恶劣加倍扣分。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4. 照护记录规范</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按要求填写免陪照护交接班记录、患者照护日志，记录真实、完整、清晰，无漏记、错记。记录不规范每处扣</w:t>
            </w:r>
            <w:r>
              <w:rPr>
                <w:rFonts w:hint="default" w:ascii="Arial" w:hAnsi="Arial" w:cs="Arial" w:eastAsiaTheme="minorEastAsia"/>
                <w:i w:val="0"/>
                <w:iCs w:val="0"/>
                <w:caps w:val="0"/>
                <w:color w:val="333333"/>
                <w:spacing w:val="0"/>
                <w:kern w:val="0"/>
                <w:sz w:val="22"/>
                <w:szCs w:val="22"/>
                <w:lang w:val="en-US" w:eastAsia="zh-CN" w:bidi="ar"/>
              </w:rPr>
              <w:t>2分，漏记扣3分。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913" w:hRule="atLeast"/>
        </w:trPr>
        <w:tc>
          <w:tcPr>
            <w:tcW w:w="822"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eastAsia" w:ascii="宋体" w:hAnsi="宋体" w:eastAsia="宋体" w:cs="宋体"/>
                <w:i w:val="0"/>
                <w:iCs w:val="0"/>
                <w:caps w:val="0"/>
                <w:color w:val="333333"/>
                <w:spacing w:val="0"/>
                <w:kern w:val="0"/>
                <w:sz w:val="22"/>
                <w:szCs w:val="22"/>
                <w:lang w:val="en-US" w:eastAsia="zh-CN" w:bidi="ar"/>
              </w:rPr>
            </w:pPr>
            <w:r>
              <w:rPr>
                <w:rFonts w:hint="eastAsia" w:ascii="宋体" w:hAnsi="宋体" w:eastAsia="宋体" w:cs="宋体"/>
                <w:i w:val="0"/>
                <w:iCs w:val="0"/>
                <w:caps w:val="0"/>
                <w:color w:val="333333"/>
                <w:spacing w:val="0"/>
                <w:kern w:val="0"/>
                <w:sz w:val="22"/>
                <w:szCs w:val="22"/>
                <w:lang w:val="en-US" w:eastAsia="zh-CN" w:bidi="ar"/>
              </w:rPr>
              <w:t>三、</w:t>
            </w:r>
          </w:p>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安全与院感管理</w:t>
            </w:r>
          </w:p>
        </w:tc>
        <w:tc>
          <w:tcPr>
            <w:tcW w:w="606" w:type="dxa"/>
            <w:vMerge w:val="restart"/>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20</w:t>
            </w:r>
            <w:r>
              <w:rPr>
                <w:rFonts w:hint="eastAsia" w:ascii="宋体" w:hAnsi="宋体" w:eastAsia="宋体" w:cs="宋体"/>
                <w:i w:val="0"/>
                <w:iCs w:val="0"/>
                <w:caps w:val="0"/>
                <w:color w:val="333333"/>
                <w:spacing w:val="0"/>
                <w:kern w:val="0"/>
                <w:sz w:val="22"/>
                <w:szCs w:val="22"/>
                <w:lang w:val="en-US" w:eastAsia="zh-CN" w:bidi="ar"/>
              </w:rPr>
              <w:t>分</w:t>
            </w: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1. 安全照护落实</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严格落实防跌倒、防坠床、防烫伤、防误吸等安全措施，正确使用防护用具，无安全责任事故。存在安全隐患未整改扣</w:t>
            </w:r>
            <w:r>
              <w:rPr>
                <w:rFonts w:hint="default" w:ascii="Arial" w:hAnsi="Arial" w:cs="Arial" w:eastAsiaTheme="minorEastAsia"/>
                <w:i w:val="0"/>
                <w:iCs w:val="0"/>
                <w:caps w:val="0"/>
                <w:color w:val="333333"/>
                <w:spacing w:val="0"/>
                <w:kern w:val="0"/>
                <w:sz w:val="22"/>
                <w:szCs w:val="22"/>
                <w:lang w:val="en-US" w:eastAsia="zh-CN" w:bidi="ar"/>
              </w:rPr>
              <w:t>4分，发生轻微安全事故扣8分。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2"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2. 消毒隔离执行</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遵守医院院感防控要求，规范执行手卫生，护理用具、床单位、患者用品按时清洁消毒，垃圾分类规范投放。院感操作不规范每项扣</w:t>
            </w:r>
            <w:r>
              <w:rPr>
                <w:rFonts w:hint="default" w:ascii="Arial" w:hAnsi="Arial" w:cs="Arial" w:eastAsiaTheme="minorEastAsia"/>
                <w:i w:val="0"/>
                <w:iCs w:val="0"/>
                <w:caps w:val="0"/>
                <w:color w:val="333333"/>
                <w:spacing w:val="0"/>
                <w:kern w:val="0"/>
                <w:sz w:val="22"/>
                <w:szCs w:val="22"/>
                <w:lang w:val="en-US" w:eastAsia="zh-CN" w:bidi="ar"/>
              </w:rPr>
              <w:t>3分，垃圾分类错误每处扣2分。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3. 应急处置能力</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护理员掌握基础应急知识，遇患者病情异常、突发状况能及时上报病区医护人员，配合处置。应急处置不当、上报不及时扣5分，延误救治扣10分。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6" w:hRule="atLeast"/>
        </w:trPr>
        <w:tc>
          <w:tcPr>
            <w:tcW w:w="822"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四、沟通与配合管理</w:t>
            </w:r>
          </w:p>
        </w:tc>
        <w:tc>
          <w:tcPr>
            <w:tcW w:w="606" w:type="dxa"/>
            <w:vMerge w:val="restart"/>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15</w:t>
            </w:r>
            <w:r>
              <w:rPr>
                <w:rFonts w:hint="eastAsia" w:ascii="宋体" w:hAnsi="宋体" w:eastAsia="宋体" w:cs="宋体"/>
                <w:i w:val="0"/>
                <w:iCs w:val="0"/>
                <w:caps w:val="0"/>
                <w:color w:val="333333"/>
                <w:spacing w:val="0"/>
                <w:kern w:val="0"/>
                <w:sz w:val="22"/>
                <w:szCs w:val="22"/>
                <w:lang w:val="en-US" w:eastAsia="zh-CN" w:bidi="ar"/>
              </w:rPr>
              <w:t>分</w:t>
            </w: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1. 院内沟通配合</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积极配合护理部、病区护士长工作，服从工作调度，及时落实整改通知；与医护人员沟通顺畅，协同完成照护工作。不配合工作扣</w:t>
            </w:r>
            <w:r>
              <w:rPr>
                <w:rFonts w:hint="default" w:ascii="Arial" w:hAnsi="Arial" w:cs="Arial" w:eastAsiaTheme="minorEastAsia"/>
                <w:i w:val="0"/>
                <w:iCs w:val="0"/>
                <w:caps w:val="0"/>
                <w:color w:val="333333"/>
                <w:spacing w:val="0"/>
                <w:kern w:val="0"/>
                <w:sz w:val="22"/>
                <w:szCs w:val="22"/>
                <w:lang w:val="en-US" w:eastAsia="zh-CN" w:bidi="ar"/>
              </w:rPr>
              <w:t>5分，整改不到位加倍扣分。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2. 家属沟通反馈</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主动与患者家属沟通照护情况，及时回应家属合理诉求，妥善处理服务纠纷。未及时回应家属诉求扣3分，纠纷处理不当引发投诉扣4分。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0"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3. 问题整改效率</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对院方督查提出的问题，在规定时限内完成整改并反馈，提交整改报告。逾期未整改扣5分，整改流于形式扣3分。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55" w:hRule="atLeast"/>
        </w:trPr>
        <w:tc>
          <w:tcPr>
            <w:tcW w:w="822" w:type="dxa"/>
            <w:vMerge w:val="restart"/>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五、合同履约与其他</w:t>
            </w:r>
          </w:p>
        </w:tc>
        <w:tc>
          <w:tcPr>
            <w:tcW w:w="606" w:type="dxa"/>
            <w:vMerge w:val="restart"/>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center"/>
              <w:textAlignment w:val="top"/>
              <w:rPr>
                <w:rFonts w:hint="default" w:ascii="Arial" w:hAnsi="Arial" w:cs="Arial" w:eastAsiaTheme="minorEastAsia"/>
                <w:i w:val="0"/>
                <w:iCs w:val="0"/>
                <w:caps w:val="0"/>
                <w:color w:val="333333"/>
                <w:spacing w:val="0"/>
                <w:kern w:val="0"/>
                <w:sz w:val="22"/>
                <w:szCs w:val="22"/>
                <w:lang w:val="en-US" w:eastAsia="zh-CN" w:bidi="ar"/>
              </w:rPr>
            </w:pPr>
          </w:p>
          <w:p>
            <w:pPr>
              <w:keepNext w:val="0"/>
              <w:keepLines w:val="0"/>
              <w:widowControl/>
              <w:suppressLineNumbers w:val="0"/>
              <w:spacing w:before="0" w:beforeAutospacing="0" w:after="0" w:afterAutospacing="0"/>
              <w:ind w:left="0" w:right="0"/>
              <w:jc w:val="both"/>
              <w:textAlignment w:val="top"/>
            </w:pPr>
            <w:r>
              <w:rPr>
                <w:rFonts w:hint="default" w:ascii="Arial" w:hAnsi="Arial" w:cs="Arial" w:eastAsiaTheme="minorEastAsia"/>
                <w:i w:val="0"/>
                <w:iCs w:val="0"/>
                <w:caps w:val="0"/>
                <w:color w:val="333333"/>
                <w:spacing w:val="0"/>
                <w:kern w:val="0"/>
                <w:sz w:val="22"/>
                <w:szCs w:val="22"/>
                <w:lang w:val="en-US" w:eastAsia="zh-CN" w:bidi="ar"/>
              </w:rPr>
              <w:t>10</w:t>
            </w:r>
            <w:r>
              <w:rPr>
                <w:rFonts w:hint="eastAsia" w:ascii="宋体" w:hAnsi="宋体" w:eastAsia="宋体" w:cs="宋体"/>
                <w:i w:val="0"/>
                <w:iCs w:val="0"/>
                <w:caps w:val="0"/>
                <w:color w:val="333333"/>
                <w:spacing w:val="0"/>
                <w:kern w:val="0"/>
                <w:sz w:val="22"/>
                <w:szCs w:val="22"/>
                <w:lang w:val="en-US" w:eastAsia="zh-CN" w:bidi="ar"/>
              </w:rPr>
              <w:t>分</w:t>
            </w: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1. 合同履约情况</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严格履行中标合同条款，照护服务范围、标准、收费符合合同约定，无违规收费、擅自缩减服务内容、擅自调整服务价格情况。违反合同约定扣5-10分。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9" w:hRule="atLeast"/>
        </w:trPr>
        <w:tc>
          <w:tcPr>
            <w:tcW w:w="822" w:type="dxa"/>
            <w:vMerge w:val="continue"/>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606" w:type="dxa"/>
            <w:vMerge w:val="continue"/>
            <w:tcBorders>
              <w:top w:val="nil"/>
              <w:left w:val="nil"/>
              <w:bottom w:val="single" w:color="auto" w:sz="8" w:space="0"/>
              <w:right w:val="single" w:color="auto" w:sz="8" w:space="0"/>
            </w:tcBorders>
            <w:shd w:val="clear" w:color="auto" w:fill="FFFFFF"/>
            <w:tcMar>
              <w:left w:w="108" w:type="dxa"/>
              <w:right w:w="108" w:type="dxa"/>
            </w:tcMar>
            <w:vAlign w:val="top"/>
          </w:tcPr>
          <w:p>
            <w:pPr>
              <w:rPr>
                <w:rFonts w:hint="default" w:ascii="Arial" w:hAnsi="Arial" w:cs="Arial"/>
                <w:i w:val="0"/>
                <w:iCs w:val="0"/>
                <w:caps w:val="0"/>
                <w:color w:val="333333"/>
                <w:spacing w:val="0"/>
                <w:sz w:val="24"/>
                <w:szCs w:val="24"/>
              </w:rPr>
            </w:pPr>
          </w:p>
        </w:tc>
        <w:tc>
          <w:tcPr>
            <w:tcW w:w="1042"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default" w:ascii="Arial" w:hAnsi="Arial" w:cs="Arial" w:eastAsiaTheme="minorEastAsia"/>
                <w:i w:val="0"/>
                <w:iCs w:val="0"/>
                <w:caps w:val="0"/>
                <w:color w:val="333333"/>
                <w:spacing w:val="0"/>
                <w:kern w:val="0"/>
                <w:sz w:val="22"/>
                <w:szCs w:val="22"/>
                <w:lang w:val="en-US" w:eastAsia="zh-CN" w:bidi="ar"/>
              </w:rPr>
              <w:t>2. 满意度评价</w:t>
            </w:r>
          </w:p>
        </w:tc>
        <w:tc>
          <w:tcPr>
            <w:tcW w:w="579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患者及家属对免陪照护服务满意度</w:t>
            </w:r>
            <w:r>
              <w:rPr>
                <w:rFonts w:hint="default" w:ascii="Arial" w:hAnsi="Arial" w:cs="Arial" w:eastAsiaTheme="minorEastAsia"/>
                <w:i w:val="0"/>
                <w:iCs w:val="0"/>
                <w:caps w:val="0"/>
                <w:color w:val="333333"/>
                <w:spacing w:val="0"/>
                <w:kern w:val="0"/>
                <w:sz w:val="22"/>
                <w:szCs w:val="22"/>
                <w:lang w:val="en-US" w:eastAsia="zh-CN" w:bidi="ar"/>
              </w:rPr>
              <w:t>≥90%。每降低5%扣3分，满意度低于80%本项不得分。</w:t>
            </w:r>
          </w:p>
        </w:tc>
        <w:tc>
          <w:tcPr>
            <w:tcW w:w="510" w:type="dxa"/>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3439" w:hRule="atLeast"/>
        </w:trPr>
        <w:tc>
          <w:tcPr>
            <w:tcW w:w="8260" w:type="dxa"/>
            <w:gridSpan w:val="4"/>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spacing w:before="0" w:beforeAutospacing="0" w:after="0" w:afterAutospacing="0"/>
              <w:ind w:left="0" w:right="0"/>
              <w:jc w:val="left"/>
              <w:textAlignment w:val="center"/>
            </w:pPr>
            <w:r>
              <w:rPr>
                <w:rFonts w:hint="default" w:ascii="Arial" w:hAnsi="Arial" w:cs="Arial" w:eastAsiaTheme="minorEastAsia"/>
                <w:i w:val="0"/>
                <w:iCs w:val="0"/>
                <w:caps w:val="0"/>
                <w:color w:val="333333"/>
                <w:spacing w:val="0"/>
                <w:kern w:val="0"/>
                <w:sz w:val="22"/>
                <w:szCs w:val="22"/>
                <w:lang w:val="en-US" w:eastAsia="zh-CN" w:bidi="ar"/>
              </w:rPr>
              <w:t>加分项（总分不超过5分）</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1.护理员服务受到患者/家属书面表扬、锦旗致谢，每例加1分</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2.积极配合医院完成特殊照护任务、应急保障工作，加2-3分</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3.考核期内照护服务零投诉、零安全事故、零院感问题，加2分</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一票否决项（出现任意一项，考核直接判定为不合格）</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1.发生重大护理安全事故（如患者坠床骨折、误吸窒息、烫伤致残、虐待患者等），公司负主要责任</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2.出现护理员无证上岗、冒用他人资质上岗，且拒不整改</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3.存在违规收费、索要患者/家属财物、偷盗等严重违规行为</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4.连续2次未按要求落实整改，或拒不配合护理部考核、督查工作</w:t>
            </w:r>
            <w:r>
              <w:rPr>
                <w:rFonts w:hint="default" w:ascii="Arial" w:hAnsi="Arial" w:cs="Arial" w:eastAsiaTheme="minorEastAsia"/>
                <w:i w:val="0"/>
                <w:iCs w:val="0"/>
                <w:caps w:val="0"/>
                <w:color w:val="333333"/>
                <w:spacing w:val="0"/>
                <w:kern w:val="0"/>
                <w:sz w:val="22"/>
                <w:szCs w:val="22"/>
                <w:lang w:val="en-US" w:eastAsia="zh-CN" w:bidi="ar"/>
              </w:rPr>
              <w:br w:type="textWrapping"/>
            </w:r>
            <w:r>
              <w:rPr>
                <w:rFonts w:hint="default" w:ascii="Arial" w:hAnsi="Arial" w:cs="Arial" w:eastAsiaTheme="minorEastAsia"/>
                <w:i w:val="0"/>
                <w:iCs w:val="0"/>
                <w:caps w:val="0"/>
                <w:color w:val="333333"/>
                <w:spacing w:val="0"/>
                <w:kern w:val="0"/>
                <w:sz w:val="22"/>
                <w:szCs w:val="22"/>
                <w:lang w:val="en-US" w:eastAsia="zh-CN" w:bidi="ar"/>
              </w:rPr>
              <w:t>5.患者/家属重大有效投诉≥3起，造成恶劣影响</w:t>
            </w:r>
          </w:p>
        </w:tc>
        <w:tc>
          <w:tcPr>
            <w:tcW w:w="510"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nil"/>
              <w:left w:val="nil"/>
              <w:bottom w:val="single" w:color="auto" w:sz="8" w:space="0"/>
              <w:right w:val="single" w:color="auto" w:sz="8"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9" w:hRule="atLeast"/>
        </w:trPr>
        <w:tc>
          <w:tcPr>
            <w:tcW w:w="8260" w:type="dxa"/>
            <w:gridSpan w:val="4"/>
            <w:tcBorders>
              <w:top w:val="single" w:color="333333" w:sz="6" w:space="0"/>
              <w:left w:val="single" w:color="333333" w:sz="6" w:space="0"/>
              <w:bottom w:val="single" w:color="333333" w:sz="6" w:space="0"/>
              <w:right w:val="single" w:color="333333" w:sz="6"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textAlignment w:val="center"/>
            </w:pPr>
            <w:r>
              <w:rPr>
                <w:rFonts w:hint="default" w:ascii="Arial" w:hAnsi="Arial" w:cs="Arial" w:eastAsiaTheme="minorEastAsia"/>
                <w:b/>
                <w:bCs/>
                <w:i w:val="0"/>
                <w:iCs w:val="0"/>
                <w:caps w:val="0"/>
                <w:color w:val="333333"/>
                <w:spacing w:val="0"/>
                <w:kern w:val="0"/>
                <w:sz w:val="24"/>
                <w:szCs w:val="24"/>
                <w:lang w:val="en-US" w:eastAsia="zh-CN" w:bidi="ar"/>
              </w:rPr>
              <w:t>考核结果评定</w:t>
            </w:r>
          </w:p>
        </w:tc>
        <w:tc>
          <w:tcPr>
            <w:tcW w:w="510" w:type="dxa"/>
            <w:tcBorders>
              <w:top w:val="single" w:color="333333" w:sz="6" w:space="0"/>
              <w:left w:val="single" w:color="333333" w:sz="6" w:space="0"/>
              <w:bottom w:val="single" w:color="333333" w:sz="6" w:space="0"/>
              <w:right w:val="single" w:color="333333" w:sz="6"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c>
          <w:tcPr>
            <w:tcW w:w="615" w:type="dxa"/>
            <w:tcBorders>
              <w:top w:val="single" w:color="333333" w:sz="6" w:space="0"/>
              <w:left w:val="single" w:color="333333" w:sz="6" w:space="0"/>
              <w:bottom w:val="single" w:color="333333" w:sz="6" w:space="0"/>
              <w:right w:val="single" w:color="333333" w:sz="6" w:space="0"/>
            </w:tcBorders>
            <w:shd w:val="clear" w:color="auto" w:fill="FFFFFF"/>
            <w:noWrap/>
            <w:tcMar>
              <w:left w:w="108" w:type="dxa"/>
              <w:right w:w="108" w:type="dxa"/>
            </w:tcMar>
            <w:vAlign w:val="center"/>
          </w:tcPr>
          <w:p>
            <w:pPr>
              <w:keepNext w:val="0"/>
              <w:keepLines w:val="0"/>
              <w:widowControl/>
              <w:suppressLineNumbers w:val="0"/>
              <w:spacing w:before="0" w:beforeAutospacing="0" w:after="0" w:afterAutospacing="0"/>
              <w:ind w:left="0" w:right="0"/>
              <w:jc w:val="left"/>
            </w:pPr>
            <w:r>
              <w:rPr>
                <w:rFonts w:hint="default" w:ascii="Arial" w:hAnsi="Arial" w:cs="Arial" w:eastAsiaTheme="minorEastAsia"/>
                <w:i w:val="0"/>
                <w:iCs w:val="0"/>
                <w:caps w:val="0"/>
                <w:color w:val="333333"/>
                <w:spacing w:val="0"/>
                <w:kern w:val="0"/>
                <w:sz w:val="24"/>
                <w:szCs w:val="24"/>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9" w:hRule="atLeast"/>
        </w:trPr>
        <w:tc>
          <w:tcPr>
            <w:tcW w:w="822" w:type="dxa"/>
            <w:tcBorders>
              <w:top w:val="single" w:color="000000" w:sz="8" w:space="0"/>
              <w:left w:val="single" w:color="000000" w:sz="8" w:space="0"/>
              <w:bottom w:val="single" w:color="000000" w:sz="8" w:space="0"/>
              <w:right w:val="single" w:color="000000"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考核等级</w:t>
            </w:r>
          </w:p>
        </w:tc>
        <w:tc>
          <w:tcPr>
            <w:tcW w:w="1648"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总分范围</w:t>
            </w:r>
          </w:p>
        </w:tc>
        <w:tc>
          <w:tcPr>
            <w:tcW w:w="6915" w:type="dxa"/>
            <w:gridSpan w:val="3"/>
            <w:tcBorders>
              <w:top w:val="single" w:color="auto" w:sz="8" w:space="0"/>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结果应用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26" w:hRule="atLeast"/>
        </w:trPr>
        <w:tc>
          <w:tcPr>
            <w:tcW w:w="822"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优秀</w:t>
            </w:r>
          </w:p>
        </w:tc>
        <w:tc>
          <w:tcPr>
            <w:tcW w:w="1648" w:type="dxa"/>
            <w:gridSpan w:val="2"/>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90-100分</w:t>
            </w:r>
          </w:p>
        </w:tc>
        <w:tc>
          <w:tcPr>
            <w:tcW w:w="6915" w:type="dxa"/>
            <w:gridSpan w:val="3"/>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履约优秀，予以表扬，可作为后续合作、续约优先考量对象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26" w:hRule="atLeast"/>
        </w:trPr>
        <w:tc>
          <w:tcPr>
            <w:tcW w:w="822"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合格</w:t>
            </w:r>
          </w:p>
        </w:tc>
        <w:tc>
          <w:tcPr>
            <w:tcW w:w="1648" w:type="dxa"/>
            <w:gridSpan w:val="2"/>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80-89分</w:t>
            </w:r>
          </w:p>
        </w:tc>
        <w:tc>
          <w:tcPr>
            <w:tcW w:w="6915" w:type="dxa"/>
            <w:gridSpan w:val="3"/>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满足合同服务要求，需持续优化服务细节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49" w:hRule="atLeast"/>
        </w:trPr>
        <w:tc>
          <w:tcPr>
            <w:tcW w:w="822"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基本合格</w:t>
            </w:r>
          </w:p>
        </w:tc>
        <w:tc>
          <w:tcPr>
            <w:tcW w:w="1648" w:type="dxa"/>
            <w:gridSpan w:val="2"/>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default" w:ascii="Arial" w:hAnsi="Arial" w:cs="Arial" w:eastAsiaTheme="minorEastAsia"/>
                <w:i w:val="0"/>
                <w:iCs w:val="0"/>
                <w:caps w:val="0"/>
                <w:color w:val="333333"/>
                <w:spacing w:val="0"/>
                <w:kern w:val="0"/>
                <w:sz w:val="22"/>
                <w:szCs w:val="22"/>
                <w:lang w:val="en-US" w:eastAsia="zh-CN" w:bidi="ar"/>
              </w:rPr>
              <w:t>70-79分</w:t>
            </w:r>
          </w:p>
        </w:tc>
        <w:tc>
          <w:tcPr>
            <w:tcW w:w="6915" w:type="dxa"/>
            <w:gridSpan w:val="3"/>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服务存在不足，限期整改，扣除部分履约保证金（履约保证金在合同签订前缴纳</w:t>
            </w:r>
            <w:r>
              <w:rPr>
                <w:rFonts w:hint="default" w:ascii="Arial" w:hAnsi="Arial" w:cs="Arial" w:eastAsiaTheme="minorEastAsia"/>
                <w:i w:val="0"/>
                <w:iCs w:val="0"/>
                <w:caps w:val="0"/>
                <w:color w:val="333333"/>
                <w:spacing w:val="0"/>
                <w:kern w:val="0"/>
                <w:sz w:val="22"/>
                <w:szCs w:val="22"/>
                <w:lang w:val="en-US" w:eastAsia="zh-CN" w:bidi="ar"/>
              </w:rPr>
              <w:t>1万元至医院账户）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8" w:hRule="atLeast"/>
        </w:trPr>
        <w:tc>
          <w:tcPr>
            <w:tcW w:w="822" w:type="dxa"/>
            <w:tcBorders>
              <w:top w:val="nil"/>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不合格</w:t>
            </w:r>
          </w:p>
        </w:tc>
        <w:tc>
          <w:tcPr>
            <w:tcW w:w="1648" w:type="dxa"/>
            <w:gridSpan w:val="2"/>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center"/>
              <w:textAlignment w:val="top"/>
            </w:pPr>
            <w:r>
              <w:rPr>
                <w:rFonts w:hint="eastAsia" w:ascii="宋体" w:hAnsi="宋体" w:eastAsia="宋体" w:cs="宋体"/>
                <w:i w:val="0"/>
                <w:iCs w:val="0"/>
                <w:caps w:val="0"/>
                <w:color w:val="333333"/>
                <w:spacing w:val="0"/>
                <w:kern w:val="0"/>
                <w:sz w:val="22"/>
                <w:szCs w:val="22"/>
                <w:lang w:val="en-US" w:eastAsia="zh-CN" w:bidi="ar"/>
              </w:rPr>
              <w:t>＜</w:t>
            </w:r>
            <w:r>
              <w:rPr>
                <w:rFonts w:hint="default" w:ascii="Arial" w:hAnsi="Arial" w:cs="Arial" w:eastAsiaTheme="minorEastAsia"/>
                <w:i w:val="0"/>
                <w:iCs w:val="0"/>
                <w:caps w:val="0"/>
                <w:color w:val="333333"/>
                <w:spacing w:val="0"/>
                <w:kern w:val="0"/>
                <w:sz w:val="22"/>
                <w:szCs w:val="22"/>
                <w:lang w:val="en-US" w:eastAsia="zh-CN" w:bidi="ar"/>
              </w:rPr>
              <w:t>70分/一票否决</w:t>
            </w:r>
          </w:p>
        </w:tc>
        <w:tc>
          <w:tcPr>
            <w:tcW w:w="6915" w:type="dxa"/>
            <w:gridSpan w:val="3"/>
            <w:tcBorders>
              <w:top w:val="nil"/>
              <w:left w:val="nil"/>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spacing w:before="0" w:beforeAutospacing="0" w:after="0" w:afterAutospacing="0"/>
              <w:ind w:left="0" w:right="0"/>
              <w:jc w:val="left"/>
              <w:textAlignment w:val="top"/>
            </w:pPr>
            <w:r>
              <w:rPr>
                <w:rFonts w:hint="eastAsia" w:ascii="宋体" w:hAnsi="宋体" w:eastAsia="宋体" w:cs="宋体"/>
                <w:i w:val="0"/>
                <w:iCs w:val="0"/>
                <w:caps w:val="0"/>
                <w:color w:val="333333"/>
                <w:spacing w:val="0"/>
                <w:kern w:val="0"/>
                <w:sz w:val="22"/>
                <w:szCs w:val="22"/>
                <w:lang w:val="en-US" w:eastAsia="zh-CN" w:bidi="ar"/>
              </w:rPr>
              <w:t>责令全面整改，扣除相应履约保证金，情节严重终止合作合同</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918" w:firstLineChars="300"/>
        <w:textAlignment w:val="auto"/>
        <w:rPr>
          <w:rFonts w:hint="default" w:ascii="宋体" w:hAnsi="宋体" w:eastAsia="宋体" w:cs="宋体"/>
          <w:sz w:val="32"/>
          <w:szCs w:val="32"/>
          <w:u w:val="none"/>
          <w:vertAlign w:val="baseline"/>
          <w:lang w:val="en-US" w:eastAsia="zh-CN"/>
        </w:rPr>
      </w:pPr>
    </w:p>
    <w:sectPr>
      <w:pgSz w:w="11906" w:h="16838"/>
      <w:pgMar w:top="1327" w:right="1123" w:bottom="1043" w:left="1349" w:header="851" w:footer="992" w:gutter="0"/>
      <w:cols w:space="0" w:num="1"/>
      <w:rtlGutter w:val="0"/>
      <w:docGrid w:type="linesAndChars" w:linePitch="294" w:charSpace="-29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D64EE0"/>
    <w:multiLevelType w:val="singleLevel"/>
    <w:tmpl w:val="A1D64EE0"/>
    <w:lvl w:ilvl="0" w:tentative="0">
      <w:start w:val="1"/>
      <w:numFmt w:val="decimal"/>
      <w:suff w:val="nothing"/>
      <w:lvlText w:val="%1、"/>
      <w:lvlJc w:val="left"/>
    </w:lvl>
  </w:abstractNum>
  <w:abstractNum w:abstractNumId="1">
    <w:nsid w:val="5B685B29"/>
    <w:multiLevelType w:val="singleLevel"/>
    <w:tmpl w:val="5B685B2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98"/>
  <w:drawingGridVerticalSpacing w:val="147"/>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lNGRmZWY4Zjk1YzMyYWU4NzcxZjRiZjhiMDYwMTUifQ=="/>
  </w:docVars>
  <w:rsids>
    <w:rsidRoot w:val="00000000"/>
    <w:rsid w:val="02895B83"/>
    <w:rsid w:val="035D50D2"/>
    <w:rsid w:val="039842CF"/>
    <w:rsid w:val="0408709E"/>
    <w:rsid w:val="05CE33E6"/>
    <w:rsid w:val="05D7357A"/>
    <w:rsid w:val="060D18C8"/>
    <w:rsid w:val="06F207D0"/>
    <w:rsid w:val="0A1571B9"/>
    <w:rsid w:val="0AD20A70"/>
    <w:rsid w:val="0AF06F8D"/>
    <w:rsid w:val="0B457093"/>
    <w:rsid w:val="0F8C5017"/>
    <w:rsid w:val="1229657A"/>
    <w:rsid w:val="158A49D8"/>
    <w:rsid w:val="158E1F33"/>
    <w:rsid w:val="1714447D"/>
    <w:rsid w:val="1818237E"/>
    <w:rsid w:val="19292780"/>
    <w:rsid w:val="1C954842"/>
    <w:rsid w:val="1CC13F05"/>
    <w:rsid w:val="1CD65B9E"/>
    <w:rsid w:val="1D270B79"/>
    <w:rsid w:val="21D06EF1"/>
    <w:rsid w:val="2290738C"/>
    <w:rsid w:val="24551D5C"/>
    <w:rsid w:val="25FB6C61"/>
    <w:rsid w:val="261354F5"/>
    <w:rsid w:val="29AD5E05"/>
    <w:rsid w:val="2D9A435C"/>
    <w:rsid w:val="2E2F2809"/>
    <w:rsid w:val="2F17263D"/>
    <w:rsid w:val="2FA80F83"/>
    <w:rsid w:val="305839E1"/>
    <w:rsid w:val="31F048F0"/>
    <w:rsid w:val="3220355E"/>
    <w:rsid w:val="3319385E"/>
    <w:rsid w:val="37832B4B"/>
    <w:rsid w:val="39213685"/>
    <w:rsid w:val="3A605834"/>
    <w:rsid w:val="3A797CAF"/>
    <w:rsid w:val="3C195C48"/>
    <w:rsid w:val="3C2E4320"/>
    <w:rsid w:val="3C681D8A"/>
    <w:rsid w:val="3F361864"/>
    <w:rsid w:val="42D05AB1"/>
    <w:rsid w:val="4854788E"/>
    <w:rsid w:val="4E114845"/>
    <w:rsid w:val="4F6A5677"/>
    <w:rsid w:val="4F7546C9"/>
    <w:rsid w:val="4F805B27"/>
    <w:rsid w:val="51D443D7"/>
    <w:rsid w:val="5264613C"/>
    <w:rsid w:val="52D50AF0"/>
    <w:rsid w:val="5521296C"/>
    <w:rsid w:val="5F133D4B"/>
    <w:rsid w:val="60B55EF9"/>
    <w:rsid w:val="64FE7198"/>
    <w:rsid w:val="66BB2ACA"/>
    <w:rsid w:val="68BF163F"/>
    <w:rsid w:val="6B6F23EC"/>
    <w:rsid w:val="6E010851"/>
    <w:rsid w:val="74332FE6"/>
    <w:rsid w:val="751C4FC1"/>
    <w:rsid w:val="76C77313"/>
    <w:rsid w:val="77EE1215"/>
    <w:rsid w:val="7B8F0A21"/>
    <w:rsid w:val="7BB2603A"/>
    <w:rsid w:val="7C5B7D1E"/>
    <w:rsid w:val="7FC0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5">
    <w:name w:val="Normal (Web)"/>
    <w:basedOn w:val="1"/>
    <w:autoRedefine/>
    <w:qFormat/>
    <w:uiPriority w:val="0"/>
    <w:rPr>
      <w:sz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rPr>
  </w:style>
  <w:style w:type="paragraph" w:customStyle="1" w:styleId="10">
    <w:name w:val=" Char"/>
    <w:basedOn w:val="1"/>
    <w:next w:val="1"/>
    <w:autoRedefine/>
    <w:qFormat/>
    <w:uiPriority w:val="0"/>
    <w:pPr>
      <w:widowControl/>
      <w:spacing w:line="360" w:lineRule="auto"/>
      <w:jc w:val="left"/>
    </w:pPr>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6396</Words>
  <Characters>6795</Characters>
  <Lines>0</Lines>
  <Paragraphs>0</Paragraphs>
  <TotalTime>23</TotalTime>
  <ScaleCrop>false</ScaleCrop>
  <LinksUpToDate>false</LinksUpToDate>
  <CharactersWithSpaces>6950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2023-08-16T03:00:00Z</dcterms:created>
  <dc:creator>Administrator</dc:creator>
  <cp:lastModifiedBy>七月</cp:lastModifiedBy>
  <cp:lastPrinted>2026-05-12T08:33:00Z</cp:lastPrinted>
  <dcterms:modified xsi:type="dcterms:W3CDTF">2026-10-09T02:34:26Z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7243AE10B6834FDFBA899B911EF658E0_13</vt:lpwstr>
  </property>
  <property fmtid="{D5CDD505-2E9C-101B-9397-08002B2CF9AE}" pid="4" name="KSOTemplateDocerSaveRecord">
    <vt:lpwstr>eyJoZGlkIjoiMjliNmVmYTlhYmUyMWU4MDNjZjhlNDI2M2ViMjZkYjEiLCJ1c2VySWQiOiIxOTY5MjMxODUifQ==</vt:lpwstr>
  </property>
</Properties>
</file>