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 w:line="220" w:lineRule="auto"/>
        <w:ind w:firstLine="787" w:firstLineChars="200"/>
        <w:jc w:val="center"/>
        <w:rPr>
          <w:rFonts w:hint="eastAsia" w:ascii="宋体" w:hAnsi="宋体" w:eastAsia="宋体" w:cs="宋体"/>
          <w:b/>
          <w:bCs/>
          <w:spacing w:val="-4"/>
          <w:sz w:val="40"/>
          <w:szCs w:val="40"/>
          <w:lang w:val="en-US" w:eastAsia="zh-CN"/>
        </w:rPr>
      </w:pPr>
    </w:p>
    <w:p>
      <w:pPr>
        <w:jc w:val="center"/>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val="en-US" w:eastAsia="zh-CN"/>
        </w:rPr>
        <w:t>天长市中医院医改展馆</w:t>
      </w:r>
      <w:r>
        <w:rPr>
          <w:rFonts w:hint="eastAsia" w:ascii="Times New Roman" w:hAnsi="Times New Roman" w:eastAsia="黑体"/>
          <w:color w:val="auto"/>
          <w:sz w:val="32"/>
          <w:szCs w:val="32"/>
          <w:highlight w:val="none"/>
        </w:rPr>
        <w:t>设计制作一体化项目</w:t>
      </w:r>
      <w:r>
        <w:rPr>
          <w:rFonts w:hint="eastAsia" w:ascii="Times New Roman" w:hAnsi="Times New Roman" w:eastAsia="黑体"/>
          <w:color w:val="auto"/>
          <w:sz w:val="32"/>
          <w:szCs w:val="32"/>
          <w:highlight w:val="none"/>
          <w:lang w:eastAsia="zh-CN"/>
        </w:rPr>
        <w:t>竞争性磋商公告</w:t>
      </w:r>
    </w:p>
    <w:p>
      <w:pPr>
        <w:wordWrap w:val="0"/>
        <w:spacing w:line="360" w:lineRule="auto"/>
        <w:ind w:firstLine="560" w:firstLineChars="200"/>
        <w:rPr>
          <w:rFonts w:hint="eastAsia" w:ascii="黑体" w:hAnsi="黑体" w:eastAsia="黑体" w:cs="黑体"/>
          <w:color w:val="auto"/>
          <w:sz w:val="28"/>
          <w:szCs w:val="28"/>
          <w:highlight w:val="none"/>
        </w:rPr>
      </w:pPr>
    </w:p>
    <w:p>
      <w:pPr>
        <w:wordWrap w:val="0"/>
        <w:spacing w:line="360" w:lineRule="auto"/>
        <w:ind w:firstLine="560" w:firstLineChars="200"/>
        <w:rPr>
          <w:rFonts w:hint="eastAsia" w:ascii="宋体" w:hAnsi="宋体" w:eastAsia="宋体" w:cs="宋体"/>
          <w:color w:val="auto"/>
          <w:sz w:val="24"/>
          <w:szCs w:val="24"/>
          <w:highlight w:val="none"/>
        </w:rPr>
      </w:pPr>
      <w:r>
        <w:rPr>
          <w:rFonts w:hint="eastAsia" w:ascii="黑体" w:hAnsi="黑体" w:eastAsia="黑体" w:cs="黑体"/>
          <w:color w:val="auto"/>
          <w:sz w:val="28"/>
          <w:szCs w:val="28"/>
          <w:highlight w:val="none"/>
        </w:rPr>
        <w:t>一、项目基本情况</w:t>
      </w: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天长市中医院医改展馆</w:t>
      </w:r>
      <w:r>
        <w:rPr>
          <w:rFonts w:hint="eastAsia" w:ascii="宋体" w:hAnsi="宋体" w:eastAsia="宋体" w:cs="宋体"/>
          <w:color w:val="auto"/>
          <w:sz w:val="24"/>
          <w:szCs w:val="24"/>
          <w:highlight w:val="none"/>
        </w:rPr>
        <w:t>设计制作一体化项目</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.最高限价：40万元</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.采购方式：竞争性磋商</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val="en-US" w:eastAsia="zh-CN"/>
        </w:rPr>
        <w:t>天长市中医院院史及医改</w:t>
      </w:r>
      <w:r>
        <w:rPr>
          <w:rFonts w:hint="eastAsia" w:ascii="宋体" w:hAnsi="宋体" w:eastAsia="宋体" w:cs="宋体"/>
          <w:color w:val="auto"/>
          <w:sz w:val="24"/>
          <w:szCs w:val="24"/>
          <w:highlight w:val="none"/>
        </w:rPr>
        <w:t>成果</w:t>
      </w:r>
      <w:r>
        <w:rPr>
          <w:rFonts w:hint="eastAsia" w:ascii="宋体" w:hAnsi="宋体" w:eastAsia="宋体" w:cs="宋体"/>
          <w:color w:val="auto"/>
          <w:sz w:val="24"/>
          <w:szCs w:val="24"/>
          <w:highlight w:val="none"/>
          <w:lang w:val="en-US" w:eastAsia="zh-CN"/>
        </w:rPr>
        <w:t>展</w:t>
      </w:r>
      <w:r>
        <w:rPr>
          <w:rFonts w:hint="eastAsia" w:ascii="宋体" w:hAnsi="宋体" w:eastAsia="宋体" w:cs="宋体"/>
          <w:color w:val="auto"/>
          <w:sz w:val="24"/>
          <w:szCs w:val="24"/>
          <w:highlight w:val="none"/>
        </w:rPr>
        <w:t>廊，包含</w:t>
      </w:r>
      <w:r>
        <w:rPr>
          <w:rFonts w:hint="eastAsia" w:ascii="宋体" w:hAnsi="宋体" w:eastAsia="宋体" w:cs="宋体"/>
          <w:color w:val="auto"/>
          <w:sz w:val="24"/>
          <w:szCs w:val="24"/>
          <w:highlight w:val="none"/>
          <w:lang w:val="en-US" w:eastAsia="zh-CN"/>
        </w:rPr>
        <w:t>主题</w:t>
      </w:r>
      <w:r>
        <w:rPr>
          <w:rFonts w:hint="eastAsia" w:ascii="宋体" w:hAnsi="宋体" w:eastAsia="宋体" w:cs="宋体"/>
          <w:color w:val="auto"/>
          <w:sz w:val="24"/>
          <w:szCs w:val="24"/>
          <w:highlight w:val="none"/>
        </w:rPr>
        <w:t>策划、</w:t>
      </w:r>
      <w:r>
        <w:rPr>
          <w:rFonts w:hint="eastAsia" w:ascii="宋体" w:hAnsi="宋体" w:eastAsia="宋体" w:cs="宋体"/>
          <w:color w:val="auto"/>
          <w:sz w:val="24"/>
          <w:szCs w:val="24"/>
          <w:highlight w:val="none"/>
          <w:lang w:val="en-US" w:eastAsia="zh-CN"/>
        </w:rPr>
        <w:t>展陈</w:t>
      </w:r>
      <w:r>
        <w:rPr>
          <w:rFonts w:hint="eastAsia" w:ascii="宋体" w:hAnsi="宋体" w:eastAsia="宋体" w:cs="宋体"/>
          <w:color w:val="auto"/>
          <w:sz w:val="24"/>
          <w:szCs w:val="24"/>
          <w:highlight w:val="none"/>
        </w:rPr>
        <w:t>设计、</w:t>
      </w:r>
      <w:r>
        <w:rPr>
          <w:rFonts w:hint="eastAsia" w:ascii="宋体" w:hAnsi="宋体" w:eastAsia="宋体" w:cs="宋体"/>
          <w:color w:val="auto"/>
          <w:sz w:val="24"/>
          <w:szCs w:val="24"/>
          <w:highlight w:val="none"/>
          <w:lang w:val="en-US" w:eastAsia="zh-CN"/>
        </w:rPr>
        <w:t>物料</w:t>
      </w:r>
      <w:r>
        <w:rPr>
          <w:rFonts w:hint="eastAsia" w:ascii="宋体" w:hAnsi="宋体" w:eastAsia="宋体" w:cs="宋体"/>
          <w:color w:val="auto"/>
          <w:sz w:val="24"/>
          <w:szCs w:val="24"/>
          <w:highlight w:val="none"/>
        </w:rPr>
        <w:t>制作及</w:t>
      </w:r>
      <w:r>
        <w:rPr>
          <w:rFonts w:hint="eastAsia" w:ascii="宋体" w:hAnsi="宋体" w:eastAsia="宋体" w:cs="宋体"/>
          <w:color w:val="auto"/>
          <w:sz w:val="24"/>
          <w:szCs w:val="24"/>
          <w:highlight w:val="none"/>
          <w:lang w:val="en-US" w:eastAsia="zh-CN"/>
        </w:rPr>
        <w:t>施工</w:t>
      </w:r>
      <w:r>
        <w:rPr>
          <w:rFonts w:hint="eastAsia" w:ascii="宋体" w:hAnsi="宋体" w:eastAsia="宋体" w:cs="宋体"/>
          <w:color w:val="auto"/>
          <w:sz w:val="24"/>
          <w:szCs w:val="24"/>
          <w:highlight w:val="none"/>
        </w:rPr>
        <w:t>安装。详见</w:t>
      </w:r>
      <w:r>
        <w:rPr>
          <w:rFonts w:hint="eastAsia" w:ascii="宋体" w:hAnsi="宋体" w:eastAsia="宋体" w:cs="宋体"/>
          <w:color w:val="auto"/>
          <w:sz w:val="24"/>
          <w:szCs w:val="24"/>
          <w:highlight w:val="none"/>
          <w:lang w:val="en-US" w:eastAsia="zh-CN"/>
        </w:rPr>
        <w:t>询价人提供的图纸及</w:t>
      </w:r>
      <w:r>
        <w:rPr>
          <w:rFonts w:hint="eastAsia" w:ascii="宋体" w:hAnsi="宋体" w:eastAsia="宋体" w:cs="宋体"/>
          <w:color w:val="auto"/>
          <w:sz w:val="24"/>
          <w:szCs w:val="24"/>
          <w:highlight w:val="none"/>
        </w:rPr>
        <w:t xml:space="preserve">第三章采购需求。 </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.合同履行期限：合同签订之日起</w:t>
      </w:r>
      <w:r>
        <w:rPr>
          <w:rFonts w:hint="eastAsia" w:ascii="宋体" w:hAnsi="宋体" w:eastAsia="宋体" w:cs="宋体"/>
          <w:color w:val="auto"/>
          <w:sz w:val="24"/>
          <w:szCs w:val="24"/>
          <w:highlight w:val="none"/>
          <w:lang w:val="en-US" w:eastAsia="zh-CN"/>
        </w:rPr>
        <w:t>60</w:t>
      </w:r>
      <w:r>
        <w:rPr>
          <w:rFonts w:hint="eastAsia" w:ascii="宋体" w:hAnsi="宋体" w:eastAsia="宋体" w:cs="宋体"/>
          <w:color w:val="auto"/>
          <w:sz w:val="24"/>
          <w:szCs w:val="24"/>
          <w:highlight w:val="none"/>
        </w:rPr>
        <w:t>日历天内完成</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.本项目（是/否）接受联合体磋商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否。</w:t>
      </w:r>
    </w:p>
    <w:p>
      <w:pPr>
        <w:wordWrap w:val="0"/>
        <w:spacing w:line="360" w:lineRule="auto"/>
        <w:ind w:firstLine="560" w:firstLineChars="2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二、申请人（投标人）的资格要求</w:t>
      </w:r>
    </w:p>
    <w:p>
      <w:pPr>
        <w:spacing w:line="360" w:lineRule="auto"/>
        <w:ind w:firstLine="480" w:firstLineChars="200"/>
        <w:rPr>
          <w:rFonts w:hint="eastAsia" w:ascii="宋体" w:hAnsi="宋体" w:eastAsia="宋体" w:cs="宋体"/>
          <w:sz w:val="24"/>
          <w:szCs w:val="24"/>
          <w:highlight w:val="none"/>
          <w:lang w:eastAsia="zh-CN"/>
        </w:rPr>
      </w:pPr>
      <w:bookmarkStart w:id="0" w:name="_Toc19440"/>
      <w:r>
        <w:rPr>
          <w:rFonts w:hint="eastAsia" w:ascii="宋体" w:hAnsi="宋体" w:eastAsia="宋体" w:cs="宋体"/>
          <w:color w:val="auto"/>
          <w:sz w:val="24"/>
          <w:szCs w:val="24"/>
          <w:highlight w:val="none"/>
        </w:rPr>
        <w:t>1.满足《中华人民共和国政府采购法》第二十二条规定；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本项目是否专门面向中小企业：</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是，供应商提供的服务由中小企业提供。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本项目的特定资格要求：</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设计资质：</w:t>
      </w:r>
      <w:r>
        <w:rPr>
          <w:rFonts w:hint="eastAsia" w:ascii="宋体" w:hAnsi="宋体" w:eastAsia="宋体" w:cs="宋体"/>
          <w:b w:val="0"/>
          <w:bCs w:val="0"/>
          <w:color w:val="auto"/>
          <w:sz w:val="24"/>
          <w:szCs w:val="24"/>
          <w:highlight w:val="none"/>
        </w:rPr>
        <w:t>具有下列任一资质即可：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工程设计综合甲级资质；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建筑装饰工程专项</w:t>
      </w: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级及以上工程设计资质。</w:t>
      </w:r>
    </w:p>
    <w:p>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施工资质：</w:t>
      </w:r>
      <w:r>
        <w:rPr>
          <w:rFonts w:hint="eastAsia" w:ascii="宋体" w:hAnsi="宋体" w:eastAsia="宋体" w:cs="宋体"/>
          <w:color w:val="auto"/>
          <w:sz w:val="24"/>
          <w:szCs w:val="24"/>
          <w:highlight w:val="none"/>
        </w:rPr>
        <w:t>具有住房和城乡建设主管部门颁发的建筑装修装饰工程专业承包二级及以上资质，并具有有效的安全生产许可证。</w:t>
      </w:r>
    </w:p>
    <w:p>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项目经理资格要求：</w:t>
      </w:r>
      <w:r>
        <w:rPr>
          <w:rFonts w:hint="eastAsia" w:ascii="宋体" w:hAnsi="宋体" w:eastAsia="宋体" w:cs="宋体"/>
          <w:color w:val="auto"/>
          <w:sz w:val="24"/>
          <w:szCs w:val="24"/>
          <w:highlight w:val="none"/>
        </w:rPr>
        <w:t>须具备建筑工程专业二级及以上注册建造师执业资格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具备有效的安全生产考核（B类）合格证书。投标截止日未在其他项目担任工程总承包项目经理、施工项目负责人，或虽在其他项目上担任工程总承包项目经理、施工项目负责人岗位，但承诺在本项目中标后合同签订前能够从其他项目变更至本项目并全面履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注册建造师数量核查要求：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评标委员会对拟推荐中标候选人，通过全国建筑市场监管公共服务平台（四库一平台）核查其投标所使用施工资质对应的注册建造师专业、人员数量，核查截图留存于评标报告。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 xml:space="preserve">核查规则：投标人提交投标文件所使用哪一项资质，即按该资质等级《建筑业企业资质标准》“企业主要人员”条款要求核对建造师数量；投标人选用资质高于招标文件最低资质要求的，按投标人实际使用的高等级资质标准执行核查，不按招标文件最低资质标准放宽。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经核查注册建造师专业、数量达不到对应资质标准规定的，作资格不合格处理，不予推荐为中标候选人，按得分依次递补候选人。</w:t>
      </w:r>
    </w:p>
    <w:p>
      <w:pPr>
        <w:widowControl/>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信誉要求：</w:t>
      </w:r>
      <w:r>
        <w:rPr>
          <w:rFonts w:hint="eastAsia" w:ascii="宋体" w:hAnsi="宋体" w:eastAsia="宋体" w:cs="宋体"/>
          <w:color w:val="auto"/>
          <w:sz w:val="24"/>
          <w:szCs w:val="24"/>
          <w:highlight w:val="none"/>
        </w:rPr>
        <w:t>投标人不得存在以下情形：</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投标人被人民法院列入失信被执行人的；</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投标人或其法定代表人或拟派项目负责人近三年被人民检察院列入行贿犯罪档案的；</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投标人被市场监督管理部门列入经营异常名录或者严重违法企业名单的；</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投标人被税收部门列入重大税收违法案件当事人的；</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在“信用中国”网站上披露仍在公示期的严重失信行为的；</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被滁州市县两级各行业主管部门及公管部门取消在一定期限内的投标资格且在取消期限内的；</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被滁州市县两级公管部门记入不良行为记录或者信用信息记录，且在披露期内的</w:t>
      </w:r>
    </w:p>
    <w:p>
      <w:pPr>
        <w:widowControl/>
        <w:spacing w:line="360" w:lineRule="auto"/>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被人力资源社会保障行政部门列入拖欠农民工工资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黑名单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或者近三年因拖欠农民工工资被县级及以上有关行政主管部门行政处理、行政处罚的。</w:t>
      </w:r>
    </w:p>
    <w:p>
      <w:pPr>
        <w:spacing w:line="360" w:lineRule="auto"/>
        <w:ind w:firstLine="562" w:firstLineChars="200"/>
        <w:jc w:val="both"/>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三</w:t>
      </w:r>
      <w:r>
        <w:rPr>
          <w:rFonts w:hint="eastAsia" w:asciiTheme="minorEastAsia" w:hAnsiTheme="minorEastAsia" w:eastAsiaTheme="minorEastAsia"/>
          <w:b/>
          <w:color w:val="auto"/>
          <w:sz w:val="28"/>
          <w:highlight w:val="none"/>
          <w:lang w:eastAsia="zh-CN"/>
        </w:rPr>
        <w:t>、</w:t>
      </w:r>
      <w:r>
        <w:rPr>
          <w:rFonts w:hint="eastAsia" w:asciiTheme="minorEastAsia" w:hAnsiTheme="minorEastAsia" w:eastAsiaTheme="minorEastAsia"/>
          <w:b/>
          <w:color w:val="auto"/>
          <w:sz w:val="28"/>
          <w:highlight w:val="none"/>
        </w:rPr>
        <w:t>采购需求</w:t>
      </w:r>
      <w:bookmarkEnd w:id="0"/>
    </w:p>
    <w:p>
      <w:pPr>
        <w:spacing w:line="360" w:lineRule="auto"/>
        <w:ind w:firstLine="437"/>
        <w:outlineLvl w:val="1"/>
        <w:rPr>
          <w:rFonts w:ascii="宋体" w:hAnsi="宋体" w:eastAsia="宋体"/>
          <w:b/>
          <w:color w:val="auto"/>
          <w:sz w:val="24"/>
          <w:szCs w:val="24"/>
          <w:highlight w:val="none"/>
        </w:rPr>
      </w:pPr>
      <w:bookmarkStart w:id="1" w:name="_Toc26349"/>
      <w:bookmarkStart w:id="2" w:name="_Toc7699"/>
      <w:r>
        <w:rPr>
          <w:rFonts w:hint="eastAsia" w:ascii="宋体" w:hAnsi="宋体" w:eastAsia="宋体"/>
          <w:b/>
          <w:color w:val="auto"/>
          <w:sz w:val="24"/>
          <w:szCs w:val="24"/>
          <w:highlight w:val="none"/>
          <w:lang w:eastAsia="zh-CN"/>
        </w:rPr>
        <w:t>（一）</w:t>
      </w:r>
      <w:r>
        <w:rPr>
          <w:rFonts w:hint="eastAsia" w:ascii="宋体" w:hAnsi="宋体" w:eastAsia="宋体"/>
          <w:b/>
          <w:color w:val="auto"/>
          <w:sz w:val="24"/>
          <w:szCs w:val="24"/>
          <w:highlight w:val="none"/>
        </w:rPr>
        <w:t>采购需求前附表</w:t>
      </w:r>
      <w:bookmarkEnd w:id="1"/>
      <w:bookmarkEnd w:id="2"/>
    </w:p>
    <w:tbl>
      <w:tblPr>
        <w:tblStyle w:val="12"/>
        <w:tblW w:w="9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2229"/>
        <w:gridCol w:w="6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17"/>
              <w:pBdr>
                <w:bottom w:val="none" w:color="auto" w:sz="0" w:space="0"/>
              </w:pBdr>
              <w:tabs>
                <w:tab w:val="clear" w:pos="4153"/>
                <w:tab w:val="clear" w:pos="8306"/>
              </w:tabs>
              <w:adjustRightInd/>
              <w:spacing w:line="240" w:lineRule="auto"/>
              <w:textAlignment w:val="auto"/>
              <w:rPr>
                <w:rFonts w:hint="eastAsia" w:ascii="宋体" w:hAnsi="宋体" w:eastAsia="宋体" w:cs="宋体"/>
                <w:b/>
                <w:color w:val="auto"/>
                <w:kern w:val="2"/>
                <w:sz w:val="24"/>
                <w:szCs w:val="24"/>
                <w:highlight w:val="none"/>
              </w:rPr>
            </w:pPr>
            <w:bookmarkStart w:id="3" w:name="_Hlk16461016"/>
            <w:r>
              <w:rPr>
                <w:rFonts w:hint="eastAsia" w:ascii="宋体" w:hAnsi="宋体" w:eastAsia="宋体" w:cs="宋体"/>
                <w:b/>
                <w:color w:val="auto"/>
                <w:kern w:val="2"/>
                <w:sz w:val="24"/>
                <w:szCs w:val="24"/>
                <w:highlight w:val="none"/>
              </w:rPr>
              <w:t>序号</w:t>
            </w:r>
          </w:p>
        </w:tc>
        <w:tc>
          <w:tcPr>
            <w:tcW w:w="2229" w:type="dxa"/>
            <w:vAlign w:val="center"/>
          </w:tcPr>
          <w:p>
            <w:pPr>
              <w:pStyle w:val="18"/>
              <w:widowControl w:val="0"/>
              <w:spacing w:before="0" w:beforeAutospacing="0" w:after="0" w:afterAutospacing="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条款名称</w:t>
            </w:r>
          </w:p>
        </w:tc>
        <w:tc>
          <w:tcPr>
            <w:tcW w:w="6336" w:type="dxa"/>
            <w:vAlign w:val="center"/>
          </w:tcPr>
          <w:p>
            <w:pPr>
              <w:pStyle w:val="18"/>
              <w:widowControl w:val="0"/>
              <w:spacing w:before="0" w:beforeAutospacing="0" w:after="0" w:afterAutospacing="0" w:line="360" w:lineRule="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17"/>
              <w:pBdr>
                <w:bottom w:val="none" w:color="auto" w:sz="0" w:space="0"/>
              </w:pBdr>
              <w:tabs>
                <w:tab w:val="clear" w:pos="4153"/>
                <w:tab w:val="clear" w:pos="8306"/>
              </w:tabs>
              <w:adjustRightInd/>
              <w:spacing w:line="24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w:t>
            </w:r>
          </w:p>
        </w:tc>
        <w:tc>
          <w:tcPr>
            <w:tcW w:w="2229" w:type="dxa"/>
            <w:vAlign w:val="center"/>
          </w:tcPr>
          <w:p>
            <w:pPr>
              <w:pStyle w:val="18"/>
              <w:widowControl w:val="0"/>
              <w:spacing w:before="0" w:beforeAutospacing="0" w:after="0" w:afterAutospacing="0" w:line="360" w:lineRule="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付款方式</w:t>
            </w:r>
          </w:p>
        </w:tc>
        <w:tc>
          <w:tcPr>
            <w:tcW w:w="6336" w:type="dxa"/>
            <w:vAlign w:val="center"/>
          </w:tcPr>
          <w:p>
            <w:pPr>
              <w:pStyle w:val="18"/>
              <w:widowControl w:val="0"/>
              <w:spacing w:before="0" w:beforeAutospacing="0" w:after="0" w:afterAutospacing="0" w:line="360" w:lineRule="auto"/>
              <w:jc w:val="both"/>
              <w:rPr>
                <w:rFonts w:hint="eastAsia" w:ascii="宋体" w:hAnsi="宋体" w:eastAsia="宋体" w:cs="宋体"/>
                <w:b w:val="0"/>
                <w:color w:val="auto"/>
                <w:sz w:val="24"/>
                <w:szCs w:val="24"/>
                <w:highlight w:val="none"/>
                <w:u w:val="single"/>
              </w:rPr>
            </w:pPr>
            <w:bookmarkStart w:id="4" w:name="_Hlk137288513"/>
            <w:r>
              <w:rPr>
                <w:rFonts w:hint="eastAsia" w:ascii="宋体" w:hAnsi="宋体" w:eastAsia="宋体" w:cs="宋体"/>
                <w:b w:val="0"/>
                <w:color w:val="auto"/>
                <w:sz w:val="24"/>
                <w:szCs w:val="24"/>
                <w:highlight w:val="none"/>
              </w:rPr>
              <w:t>合同签订后，设计方案完成并经采购人通过后支付合同价款的30%，</w:t>
            </w:r>
            <w:bookmarkEnd w:id="4"/>
            <w:r>
              <w:rPr>
                <w:rFonts w:hint="eastAsia" w:ascii="宋体" w:hAnsi="宋体" w:eastAsia="宋体" w:cs="宋体"/>
                <w:b w:val="0"/>
                <w:color w:val="auto"/>
                <w:sz w:val="24"/>
                <w:szCs w:val="24"/>
                <w:highlight w:val="none"/>
              </w:rPr>
              <w:t>成交供应商完成项目制作等全部合同工作量，采购人付至合同价款的 80%，待项目结算审计结束后支付至审计价款的97%，尾款质保期满一年后付清（无息）。（每次付款前需要提供与付款金额相等的正式发票）。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17"/>
              <w:pBdr>
                <w:bottom w:val="none" w:color="auto" w:sz="0" w:space="0"/>
              </w:pBdr>
              <w:tabs>
                <w:tab w:val="clear" w:pos="4153"/>
                <w:tab w:val="clear" w:pos="8306"/>
              </w:tabs>
              <w:adjustRightInd/>
              <w:spacing w:line="24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w:t>
            </w:r>
          </w:p>
        </w:tc>
        <w:tc>
          <w:tcPr>
            <w:tcW w:w="2229" w:type="dxa"/>
            <w:vAlign w:val="center"/>
          </w:tcPr>
          <w:p>
            <w:pPr>
              <w:pStyle w:val="18"/>
              <w:widowControl w:val="0"/>
              <w:spacing w:before="0" w:beforeAutospacing="0" w:after="0" w:afterAutospacing="0" w:line="360" w:lineRule="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服务地点</w:t>
            </w:r>
          </w:p>
        </w:tc>
        <w:tc>
          <w:tcPr>
            <w:tcW w:w="6336" w:type="dxa"/>
            <w:vAlign w:val="center"/>
          </w:tcPr>
          <w:p>
            <w:pPr>
              <w:pStyle w:val="18"/>
              <w:widowControl w:val="0"/>
              <w:spacing w:before="0" w:beforeAutospacing="0" w:after="0" w:afterAutospacing="0" w:line="360" w:lineRule="auto"/>
              <w:jc w:val="both"/>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天长市中医院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17"/>
              <w:pBdr>
                <w:bottom w:val="none" w:color="auto" w:sz="0" w:space="0"/>
              </w:pBdr>
              <w:tabs>
                <w:tab w:val="clear" w:pos="4153"/>
                <w:tab w:val="clear" w:pos="8306"/>
              </w:tabs>
              <w:adjustRightInd/>
              <w:spacing w:line="24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3</w:t>
            </w:r>
          </w:p>
        </w:tc>
        <w:tc>
          <w:tcPr>
            <w:tcW w:w="2229" w:type="dxa"/>
            <w:vAlign w:val="center"/>
          </w:tcPr>
          <w:p>
            <w:pPr>
              <w:pStyle w:val="18"/>
              <w:widowControl w:val="0"/>
              <w:spacing w:before="0" w:beforeAutospacing="0" w:after="0" w:afterAutospacing="0" w:line="360" w:lineRule="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服务期限</w:t>
            </w:r>
          </w:p>
        </w:tc>
        <w:tc>
          <w:tcPr>
            <w:tcW w:w="6336" w:type="dxa"/>
            <w:vAlign w:val="center"/>
          </w:tcPr>
          <w:p>
            <w:pPr>
              <w:pStyle w:val="18"/>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合同签订之日起</w:t>
            </w:r>
            <w:r>
              <w:rPr>
                <w:rFonts w:hint="eastAsia" w:ascii="宋体" w:hAnsi="宋体" w:eastAsia="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rPr>
              <w:t>0日历天内完成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17"/>
              <w:pBdr>
                <w:bottom w:val="none" w:color="auto" w:sz="0" w:space="0"/>
              </w:pBdr>
              <w:tabs>
                <w:tab w:val="clear" w:pos="4153"/>
                <w:tab w:val="clear" w:pos="8306"/>
              </w:tabs>
              <w:adjustRightInd/>
              <w:spacing w:line="24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4</w:t>
            </w:r>
          </w:p>
        </w:tc>
        <w:tc>
          <w:tcPr>
            <w:tcW w:w="2229" w:type="dxa"/>
            <w:vAlign w:val="center"/>
          </w:tcPr>
          <w:p>
            <w:pPr>
              <w:pStyle w:val="18"/>
              <w:widowControl w:val="0"/>
              <w:spacing w:before="0" w:beforeAutospacing="0" w:after="0" w:afterAutospacing="0" w:line="360" w:lineRule="auto"/>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本项目采购标的名称及所属行业</w:t>
            </w:r>
          </w:p>
        </w:tc>
        <w:tc>
          <w:tcPr>
            <w:tcW w:w="6336" w:type="dxa"/>
            <w:vAlign w:val="center"/>
          </w:tcPr>
          <w:p>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r>
              <w:rPr>
                <w:rFonts w:hint="eastAsia" w:ascii="宋体" w:hAnsi="宋体" w:eastAsia="宋体" w:cs="宋体"/>
                <w:color w:val="auto"/>
                <w:sz w:val="24"/>
                <w:szCs w:val="24"/>
                <w:highlight w:val="none"/>
                <w:lang w:val="en-US" w:eastAsia="zh-CN"/>
              </w:rPr>
              <w:t>天长市中医院院史及医改展馆</w:t>
            </w:r>
            <w:r>
              <w:rPr>
                <w:rFonts w:hint="eastAsia" w:ascii="宋体" w:hAnsi="宋体" w:eastAsia="宋体" w:cs="宋体"/>
                <w:color w:val="auto"/>
                <w:sz w:val="24"/>
                <w:szCs w:val="24"/>
                <w:highlight w:val="none"/>
              </w:rPr>
              <w:t>设计制作一体化项目</w:t>
            </w:r>
          </w:p>
          <w:p>
            <w:pPr>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所属行业：</w:t>
            </w:r>
            <w:r>
              <w:rPr>
                <w:rFonts w:hint="eastAsia" w:ascii="宋体" w:hAnsi="宋体" w:eastAsia="宋体" w:cs="宋体"/>
                <w:b/>
                <w:bCs/>
                <w:color w:val="auto"/>
                <w:sz w:val="24"/>
                <w:szCs w:val="24"/>
                <w:highlight w:val="none"/>
              </w:rPr>
              <w:t>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pPr>
              <w:pStyle w:val="17"/>
              <w:pBdr>
                <w:bottom w:val="none" w:color="auto" w:sz="0" w:space="0"/>
              </w:pBdr>
              <w:tabs>
                <w:tab w:val="clear" w:pos="4153"/>
                <w:tab w:val="clear" w:pos="8306"/>
              </w:tabs>
              <w:adjustRightInd/>
              <w:spacing w:line="240" w:lineRule="auto"/>
              <w:jc w:val="center"/>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p>
        </w:tc>
        <w:tc>
          <w:tcPr>
            <w:tcW w:w="2229" w:type="dxa"/>
            <w:vAlign w:val="center"/>
          </w:tcPr>
          <w:p>
            <w:pPr>
              <w:pStyle w:val="18"/>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336" w:type="dxa"/>
            <w:vAlign w:val="center"/>
          </w:tcPr>
          <w:p>
            <w:pPr>
              <w:pStyle w:val="18"/>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2年</w:t>
            </w:r>
          </w:p>
        </w:tc>
      </w:tr>
    </w:tbl>
    <w:p>
      <w:pPr>
        <w:spacing w:line="360" w:lineRule="auto"/>
        <w:ind w:firstLine="437"/>
        <w:outlineLvl w:val="1"/>
        <w:rPr>
          <w:rFonts w:ascii="宋体" w:hAnsi="宋体" w:eastAsia="宋体"/>
          <w:b/>
          <w:color w:val="auto"/>
          <w:sz w:val="24"/>
          <w:szCs w:val="24"/>
          <w:highlight w:val="none"/>
        </w:rPr>
      </w:pPr>
      <w:bookmarkStart w:id="5" w:name="_Toc21757"/>
      <w:bookmarkStart w:id="6" w:name="_Toc8586"/>
      <w:r>
        <w:rPr>
          <w:rFonts w:hint="eastAsia" w:ascii="宋体" w:hAnsi="宋体" w:eastAsia="宋体"/>
          <w:b/>
          <w:color w:val="auto"/>
          <w:sz w:val="24"/>
          <w:szCs w:val="24"/>
          <w:highlight w:val="none"/>
          <w:lang w:eastAsia="zh-CN"/>
        </w:rPr>
        <w:t>（二）</w:t>
      </w:r>
      <w:r>
        <w:rPr>
          <w:rFonts w:hint="eastAsia" w:ascii="宋体" w:hAnsi="宋体" w:eastAsia="宋体"/>
          <w:b/>
          <w:color w:val="auto"/>
          <w:sz w:val="24"/>
          <w:szCs w:val="24"/>
          <w:highlight w:val="none"/>
        </w:rPr>
        <w:t>设计制作内容</w:t>
      </w:r>
      <w:r>
        <w:rPr>
          <w:rFonts w:hint="eastAsia" w:ascii="宋体" w:hAnsi="宋体" w:eastAsia="宋体"/>
          <w:b/>
          <w:color w:val="auto"/>
          <w:sz w:val="24"/>
          <w:szCs w:val="24"/>
          <w:highlight w:val="none"/>
          <w:lang w:eastAsia="zh-CN"/>
        </w:rPr>
        <w:t>、</w:t>
      </w:r>
      <w:r>
        <w:rPr>
          <w:rFonts w:hint="eastAsia" w:ascii="宋体" w:hAnsi="宋体" w:eastAsia="宋体"/>
          <w:b/>
          <w:color w:val="auto"/>
          <w:sz w:val="24"/>
          <w:szCs w:val="24"/>
          <w:highlight w:val="none"/>
        </w:rPr>
        <w:t>范围</w:t>
      </w:r>
      <w:r>
        <w:rPr>
          <w:rFonts w:hint="eastAsia" w:ascii="宋体" w:hAnsi="宋体" w:eastAsia="宋体"/>
          <w:b/>
          <w:color w:val="auto"/>
          <w:sz w:val="24"/>
          <w:szCs w:val="24"/>
          <w:highlight w:val="none"/>
          <w:lang w:val="en-US" w:eastAsia="zh-CN"/>
        </w:rPr>
        <w:t>及要求</w:t>
      </w:r>
      <w:r>
        <w:rPr>
          <w:rFonts w:hint="eastAsia" w:ascii="宋体" w:hAnsi="宋体" w:eastAsia="宋体"/>
          <w:b/>
          <w:color w:val="auto"/>
          <w:sz w:val="24"/>
          <w:szCs w:val="24"/>
          <w:highlight w:val="none"/>
          <w:lang w:eastAsia="zh-CN"/>
        </w:rPr>
        <w:t>：</w:t>
      </w:r>
    </w:p>
    <w:bookmarkEnd w:id="5"/>
    <w:bookmarkEnd w:id="6"/>
    <w:p>
      <w:pPr>
        <w:pStyle w:val="2"/>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w:t>
      </w:r>
      <w:r>
        <w:rPr>
          <w:rFonts w:hint="eastAsia" w:ascii="宋体" w:hAnsi="宋体" w:eastAsia="宋体" w:cs="宋体"/>
          <w:color w:val="auto"/>
          <w:sz w:val="24"/>
          <w:szCs w:val="24"/>
          <w:highlight w:val="none"/>
          <w:lang w:val="en-US" w:eastAsia="zh-CN"/>
        </w:rPr>
        <w:t>天长市中医院院史及医改</w:t>
      </w:r>
      <w:r>
        <w:rPr>
          <w:rFonts w:hint="eastAsia" w:ascii="宋体" w:hAnsi="宋体" w:eastAsia="宋体" w:cs="宋体"/>
          <w:color w:val="auto"/>
          <w:sz w:val="24"/>
          <w:szCs w:val="24"/>
          <w:highlight w:val="none"/>
        </w:rPr>
        <w:t>成果展廊策划、设计、制作、安装一体化改造工程。项目利用现有连廊改造实施，全程严格遵守消防安全及通行规范，足额预留通行空间与消防疏散通道，不得占用、封堵消防及公共通行区域，保障院区原有通行、消防功能正常使用，具体建设范围如下：</w:t>
      </w:r>
    </w:p>
    <w:p>
      <w:pPr>
        <w:pStyle w:val="2"/>
        <w:ind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整体氛围营造与成果展陈</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rPr>
        <w:t>对连廊整体进行氛围美化与视觉升级，围绕</w:t>
      </w:r>
      <w:r>
        <w:rPr>
          <w:rFonts w:hint="eastAsia" w:ascii="宋体" w:hAnsi="宋体" w:eastAsia="宋体" w:cs="宋体"/>
          <w:color w:val="auto"/>
          <w:sz w:val="24"/>
          <w:szCs w:val="24"/>
          <w:highlight w:val="none"/>
          <w:lang w:val="en-US" w:eastAsia="zh-CN"/>
        </w:rPr>
        <w:t>医院发展历程、医改进程、</w:t>
      </w:r>
      <w:r>
        <w:rPr>
          <w:rFonts w:hint="eastAsia" w:ascii="宋体" w:hAnsi="宋体" w:eastAsia="宋体" w:cs="宋体"/>
          <w:color w:val="auto"/>
          <w:sz w:val="24"/>
          <w:szCs w:val="24"/>
          <w:highlight w:val="none"/>
        </w:rPr>
        <w:t>紧密型县域医共体建设主题，开展立体化、组合式展陈建设。包含墙面文化装饰、主题立体造型、专用陈列柜定制安装，集中展示</w:t>
      </w:r>
      <w:r>
        <w:rPr>
          <w:rFonts w:hint="eastAsia" w:ascii="宋体" w:hAnsi="宋体" w:eastAsia="宋体" w:cs="宋体"/>
          <w:color w:val="auto"/>
          <w:sz w:val="24"/>
          <w:szCs w:val="24"/>
          <w:highlight w:val="none"/>
          <w:lang w:val="en-US" w:eastAsia="zh-CN"/>
        </w:rPr>
        <w:t>医院发展简史、医院文化、</w:t>
      </w:r>
      <w:r>
        <w:rPr>
          <w:rFonts w:hint="eastAsia" w:ascii="宋体" w:hAnsi="宋体" w:eastAsia="宋体" w:cs="宋体"/>
          <w:color w:val="auto"/>
          <w:sz w:val="24"/>
          <w:szCs w:val="24"/>
          <w:highlight w:val="none"/>
        </w:rPr>
        <w:t>医共体改革机制、建设举措、服务体系、惠民成效及特色亮点，打造主题鲜明、规范统一的成果展示长廊。</w:t>
      </w:r>
    </w:p>
    <w:p>
      <w:pPr>
        <w:pStyle w:val="2"/>
        <w:ind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系统</w:t>
      </w:r>
      <w:r>
        <w:rPr>
          <w:rFonts w:hint="eastAsia" w:ascii="宋体" w:hAnsi="宋体" w:eastAsia="宋体" w:cs="宋体"/>
          <w:b/>
          <w:bCs/>
          <w:color w:val="auto"/>
          <w:sz w:val="24"/>
          <w:szCs w:val="24"/>
          <w:highlight w:val="none"/>
          <w:lang w:val="en-US" w:eastAsia="zh-CN"/>
        </w:rPr>
        <w:t>化</w:t>
      </w:r>
      <w:r>
        <w:rPr>
          <w:rFonts w:hint="eastAsia" w:ascii="宋体" w:hAnsi="宋体" w:eastAsia="宋体" w:cs="宋体"/>
          <w:b/>
          <w:bCs/>
          <w:color w:val="auto"/>
          <w:sz w:val="24"/>
          <w:szCs w:val="24"/>
          <w:highlight w:val="none"/>
        </w:rPr>
        <w:t>谋划，前瞻</w:t>
      </w:r>
      <w:r>
        <w:rPr>
          <w:rFonts w:hint="eastAsia" w:ascii="宋体" w:hAnsi="宋体" w:eastAsia="宋体" w:cs="宋体"/>
          <w:b/>
          <w:bCs/>
          <w:color w:val="auto"/>
          <w:sz w:val="24"/>
          <w:szCs w:val="24"/>
          <w:highlight w:val="none"/>
          <w:lang w:val="en-US" w:eastAsia="zh-CN"/>
        </w:rPr>
        <w:t>性引领</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坚持全域统筹、前瞻系统的设计理念，深度融合天长地域文脉、医院品牌底蕴与中医药文化特色。本项目作为门诊大厅重要文化节点，整体风格、布局及用材兼顾中医药文化体系建设与宣教基地创建，统一视觉与建设规范，杜绝内容零散、风格杂乱及重复建设，确保全院文化建设系统衔接、统一有序。</w:t>
      </w:r>
    </w:p>
    <w:p>
      <w:pPr>
        <w:pStyle w:val="2"/>
        <w:ind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智能动态多媒体系统建设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配套建设智能多媒体展示系统，含设备采购、界面设计、布线施工、安装调试及整体交付。系统支持后台便捷编辑、实时更新内容，可动态更新医共体数据、工作成果、政策资讯、健康科普等内容，实现展廊长效智能化、动态化展示。</w:t>
      </w:r>
    </w:p>
    <w:p>
      <w:pPr>
        <w:pStyle w:val="2"/>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全流程一体化总包服务内容</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涵盖现场勘测、主题策划、文案优化、空间</w:t>
      </w:r>
      <w:r>
        <w:rPr>
          <w:rFonts w:hint="eastAsia" w:ascii="宋体" w:hAnsi="宋体" w:eastAsia="宋体" w:cs="宋体"/>
          <w:color w:val="auto"/>
          <w:sz w:val="24"/>
          <w:szCs w:val="24"/>
          <w:highlight w:val="none"/>
          <w:lang w:val="en-US" w:eastAsia="zh-CN"/>
        </w:rPr>
        <w:t>规划、方案及施工图设计、展陈物料制作、现场施工安装、灯光配套、设备调试、清洁收尾、竣工验收、资料交付等全部工作，确保项目合规落地、保质交付、正常投用。</w:t>
      </w:r>
    </w:p>
    <w:p>
      <w:pPr>
        <w:pStyle w:val="2"/>
        <w:ind w:firstLine="480"/>
        <w:rPr>
          <w:rFonts w:hint="eastAsia" w:ascii="宋体" w:hAnsi="宋体" w:eastAsia="宋体" w:cs="宋体"/>
          <w:b/>
          <w:bCs/>
          <w:color w:val="auto"/>
          <w:sz w:val="24"/>
          <w:szCs w:val="24"/>
          <w:highlight w:val="none"/>
          <w:lang w:val="en-US" w:eastAsia="zh-CN"/>
        </w:rPr>
      </w:pPr>
      <w:r>
        <w:rPr>
          <w:rFonts w:hint="eastAsia" w:ascii="宋体" w:hAnsi="宋体" w:eastAsia="宋体"/>
          <w:b/>
          <w:color w:val="auto"/>
          <w:sz w:val="24"/>
          <w:szCs w:val="24"/>
          <w:highlight w:val="none"/>
          <w:lang w:eastAsia="zh-CN"/>
        </w:rPr>
        <w:t>（三）</w:t>
      </w:r>
      <w:r>
        <w:rPr>
          <w:rFonts w:hint="eastAsia" w:ascii="宋体" w:hAnsi="宋体" w:eastAsia="宋体" w:cs="宋体"/>
          <w:b/>
          <w:bCs/>
          <w:color w:val="auto"/>
          <w:sz w:val="24"/>
          <w:szCs w:val="24"/>
          <w:highlight w:val="none"/>
          <w:lang w:val="en-US" w:eastAsia="zh-CN"/>
        </w:rPr>
        <w:t>策划设计与制作安装要求：</w:t>
      </w:r>
    </w:p>
    <w:p>
      <w:pPr>
        <w:pStyle w:val="2"/>
        <w:ind w:firstLine="480"/>
        <w:rPr>
          <w:rFonts w:hint="eastAsia" w:ascii="宋体" w:hAnsi="宋体" w:eastAsia="宋体" w:cs="宋体"/>
          <w:color w:val="auto"/>
          <w:sz w:val="24"/>
          <w:szCs w:val="24"/>
          <w:highlight w:val="none"/>
          <w:lang w:val="en-US" w:eastAsia="zh-CN"/>
        </w:rPr>
      </w:pPr>
      <w:bookmarkStart w:id="7" w:name="_Toc18052"/>
      <w:bookmarkStart w:id="8" w:name="_Toc12910"/>
      <w:r>
        <w:rPr>
          <w:rFonts w:hint="eastAsia" w:ascii="宋体" w:hAnsi="宋体" w:eastAsia="宋体" w:cs="宋体"/>
          <w:color w:val="auto"/>
          <w:sz w:val="24"/>
          <w:szCs w:val="24"/>
          <w:highlight w:val="none"/>
          <w:lang w:val="en-US" w:eastAsia="zh-CN"/>
        </w:rPr>
        <w:t>1.设计单位须精准把握本院发展简史、医改进程、紧密型县域医共体建设内涵与文化现状，精准定位文化主题，编制贴合医院实际、针对性强的整体规划设计方案。</w:t>
      </w:r>
    </w:p>
    <w:p>
      <w:pPr>
        <w:pStyle w:val="2"/>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项目整体规划以全面展示医院发展史、医改成果为核心，严格遵循三大设计原则：大众化原则，坚持人本设计、简洁直观，兼顾专业性与科普性，适配大众认知；实用性原则，立足院区实际、因地制宜，方案可行适配场地功能，落地性强；审美性原则，贴合</w:t>
      </w:r>
      <w:r>
        <w:rPr>
          <w:rFonts w:hint="eastAsia" w:ascii="宋体" w:hAnsi="宋体" w:eastAsia="宋体" w:cs="宋体"/>
          <w:color w:val="auto"/>
          <w:sz w:val="24"/>
          <w:szCs w:val="24"/>
          <w:highlight w:val="none"/>
        </w:rPr>
        <w:t>现代设计审美，平衡艺术质感与实用功能，实现美观与实用统一。</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3.设计方案体系完整、科学规范、内容详实，图文排版简洁清晰、配色协调、字体适中易识别，充分融入天长地域文化与中医药特色元素。</w:t>
      </w:r>
    </w:p>
    <w:p>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exact"/>
        <w:ind w:firstLine="480" w:firstLineChars="200"/>
        <w:jc w:val="left"/>
        <w:textAlignment w:val="baseline"/>
        <w:rPr>
          <w:rFonts w:hint="eastAsia" w:ascii="宋体" w:hAnsi="宋体" w:eastAsia="宋体" w:cs="宋体"/>
          <w:color w:val="auto"/>
          <w:sz w:val="24"/>
          <w:szCs w:val="24"/>
          <w:highlight w:val="none"/>
          <w:lang w:val="en-US"/>
        </w:rPr>
      </w:pPr>
      <w:r>
        <w:rPr>
          <w:rFonts w:hint="eastAsia" w:ascii="宋体" w:hAnsi="宋体" w:eastAsia="宋体" w:cs="宋体"/>
          <w:sz w:val="24"/>
          <w:szCs w:val="24"/>
          <w:highlight w:val="none"/>
        </w:rPr>
        <w:t>⑴</w:t>
      </w:r>
      <w:r>
        <w:rPr>
          <w:rFonts w:hint="eastAsia" w:ascii="宋体" w:hAnsi="宋体" w:eastAsia="宋体" w:cs="宋体"/>
          <w:color w:val="auto"/>
          <w:sz w:val="24"/>
          <w:szCs w:val="24"/>
          <w:highlight w:val="none"/>
          <w:lang w:val="en-US" w:eastAsia="zh-CN"/>
        </w:rPr>
        <w:t>设计原则。除体现真实性、叙事性外，还兼顾多媒体（数字化与动态媒体结合等）适度介入、可持续更新的原则；</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⑵</w:t>
      </w:r>
      <w:r>
        <w:rPr>
          <w:rFonts w:hint="eastAsia" w:ascii="宋体" w:hAnsi="宋体" w:eastAsia="宋体" w:cs="宋体"/>
          <w:color w:val="auto"/>
          <w:sz w:val="24"/>
          <w:szCs w:val="24"/>
          <w:highlight w:val="none"/>
          <w:lang w:val="en-US" w:eastAsia="zh-CN"/>
        </w:rPr>
        <w:t>整体风格。以新中式简易风格为主，打造与医疗适配、文化适配、人文关怀的格调。</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⑶</w:t>
      </w:r>
      <w:r>
        <w:rPr>
          <w:rFonts w:hint="eastAsia" w:ascii="宋体" w:hAnsi="宋体" w:eastAsia="宋体" w:cs="宋体"/>
          <w:color w:val="auto"/>
          <w:sz w:val="24"/>
          <w:szCs w:val="24"/>
          <w:highlight w:val="none"/>
          <w:lang w:val="en-US" w:eastAsia="zh-CN"/>
        </w:rPr>
        <w:t>设计视觉元素。以医院院徽为主题，包含且不限于中医四诊、五色五行、十二经络、本草图谱、针灸铜人、古医书纹理、药斗、葫芦等相关元素，充分展示医院元素、中医文化元素、地域文化元素等，</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所有制作、施工及安装工作严格按照采购人确认方案执行，成品效果与设计方案高度一致，色彩精准、做工精细、无瑕疵隐患，所有展陈</w:t>
      </w:r>
      <w:r>
        <w:rPr>
          <w:rFonts w:hint="eastAsia" w:ascii="宋体" w:hAnsi="宋体" w:eastAsia="宋体" w:cs="宋体"/>
          <w:color w:val="auto"/>
          <w:sz w:val="24"/>
          <w:szCs w:val="24"/>
          <w:highlight w:val="none"/>
          <w:lang w:val="en-US" w:eastAsia="zh-CN"/>
        </w:rPr>
        <w:t>施工物料环保、</w:t>
      </w:r>
      <w:r>
        <w:rPr>
          <w:rFonts w:hint="eastAsia" w:ascii="宋体" w:hAnsi="宋体" w:eastAsia="宋体" w:cs="宋体"/>
          <w:color w:val="auto"/>
          <w:sz w:val="24"/>
          <w:szCs w:val="24"/>
          <w:highlight w:val="none"/>
        </w:rPr>
        <w:t>设施安装稳固、</w:t>
      </w:r>
      <w:r>
        <w:rPr>
          <w:rFonts w:hint="eastAsia" w:ascii="宋体" w:hAnsi="宋体" w:eastAsia="宋体" w:cs="宋体"/>
          <w:color w:val="auto"/>
          <w:sz w:val="24"/>
          <w:szCs w:val="24"/>
          <w:highlight w:val="none"/>
          <w:lang w:val="en-US" w:eastAsia="zh-CN"/>
        </w:rPr>
        <w:t>质量</w:t>
      </w:r>
      <w:r>
        <w:rPr>
          <w:rFonts w:hint="eastAsia" w:ascii="宋体" w:hAnsi="宋体" w:eastAsia="宋体" w:cs="宋体"/>
          <w:color w:val="auto"/>
          <w:sz w:val="24"/>
          <w:szCs w:val="24"/>
          <w:highlight w:val="none"/>
        </w:rPr>
        <w:t>安全可靠。</w:t>
      </w:r>
    </w:p>
    <w:p>
      <w:pPr>
        <w:pStyle w:val="2"/>
        <w:numPr>
          <w:ilvl w:val="0"/>
          <w:numId w:val="0"/>
        </w:numPr>
        <w:ind w:firstLine="480" w:firstLineChars="200"/>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5.现场勘察：各企业根据自身要求，在询价人规定时间内勘察现场。</w:t>
      </w:r>
    </w:p>
    <w:p>
      <w:pPr>
        <w:numPr>
          <w:ilvl w:val="0"/>
          <w:numId w:val="0"/>
        </w:numPr>
        <w:spacing w:line="360" w:lineRule="auto"/>
        <w:ind w:firstLine="482" w:firstLineChars="200"/>
        <w:outlineLvl w:val="1"/>
        <w:rPr>
          <w:rFonts w:hint="eastAsia" w:ascii="宋体" w:hAnsi="宋体" w:eastAsia="宋体"/>
          <w:b/>
          <w:color w:val="auto"/>
          <w:sz w:val="24"/>
          <w:szCs w:val="24"/>
          <w:highlight w:val="none"/>
        </w:rPr>
      </w:pPr>
      <w:r>
        <w:rPr>
          <w:rFonts w:hint="eastAsia" w:ascii="宋体" w:hAnsi="宋体" w:eastAsia="宋体"/>
          <w:b/>
          <w:color w:val="auto"/>
          <w:sz w:val="24"/>
          <w:szCs w:val="24"/>
          <w:highlight w:val="none"/>
          <w:lang w:eastAsia="zh-CN"/>
        </w:rPr>
        <w:t>四</w:t>
      </w:r>
      <w:r>
        <w:rPr>
          <w:rFonts w:hint="eastAsia" w:ascii="宋体" w:hAnsi="宋体" w:eastAsia="宋体"/>
          <w:b/>
          <w:color w:val="auto"/>
          <w:sz w:val="24"/>
          <w:szCs w:val="24"/>
          <w:highlight w:val="none"/>
        </w:rPr>
        <w:t>、需要提交的材料</w:t>
      </w:r>
    </w:p>
    <w:p>
      <w:pPr>
        <w:spacing w:line="360" w:lineRule="auto"/>
        <w:ind w:firstLine="482" w:firstLineChars="200"/>
        <w:rPr>
          <w:rFonts w:hint="default" w:ascii="宋体" w:hAnsi="宋体" w:eastAsia="宋体"/>
          <w:b/>
          <w:color w:val="auto"/>
          <w:sz w:val="24"/>
          <w:szCs w:val="24"/>
          <w:highlight w:val="none"/>
          <w:lang w:val="en-US" w:eastAsia="zh-CN"/>
        </w:rPr>
      </w:pPr>
      <w:r>
        <w:rPr>
          <w:rFonts w:hint="eastAsia" w:ascii="宋体" w:hAnsi="宋体" w:eastAsia="宋体"/>
          <w:b/>
          <w:color w:val="auto"/>
          <w:sz w:val="24"/>
          <w:szCs w:val="24"/>
          <w:highlight w:val="none"/>
        </w:rPr>
        <w:t xml:space="preserve"> </w:t>
      </w:r>
      <w:r>
        <w:rPr>
          <w:rFonts w:hint="eastAsia" w:ascii="宋体" w:hAnsi="宋体" w:eastAsia="宋体"/>
          <w:b/>
          <w:color w:val="auto"/>
          <w:sz w:val="24"/>
          <w:szCs w:val="24"/>
          <w:highlight w:val="none"/>
          <w:lang w:eastAsia="zh-CN"/>
        </w:rPr>
        <w:t>（</w:t>
      </w:r>
      <w:r>
        <w:rPr>
          <w:rFonts w:hint="eastAsia" w:ascii="宋体" w:hAnsi="宋体" w:eastAsia="宋体"/>
          <w:b/>
          <w:color w:val="auto"/>
          <w:sz w:val="24"/>
          <w:szCs w:val="24"/>
          <w:highlight w:val="none"/>
          <w:lang w:val="en-US" w:eastAsia="zh-CN"/>
        </w:rPr>
        <w:t>一</w:t>
      </w:r>
      <w:r>
        <w:rPr>
          <w:rFonts w:hint="eastAsia" w:ascii="宋体" w:hAnsi="宋体" w:eastAsia="宋体"/>
          <w:b/>
          <w:color w:val="auto"/>
          <w:sz w:val="24"/>
          <w:szCs w:val="24"/>
          <w:highlight w:val="none"/>
          <w:lang w:eastAsia="zh-CN"/>
        </w:rPr>
        <w:t>）</w:t>
      </w:r>
      <w:r>
        <w:rPr>
          <w:rFonts w:hint="eastAsia" w:ascii="宋体" w:hAnsi="宋体" w:eastAsia="宋体"/>
          <w:b/>
          <w:color w:val="auto"/>
          <w:sz w:val="24"/>
          <w:szCs w:val="24"/>
          <w:highlight w:val="none"/>
        </w:rPr>
        <w:t xml:space="preserve"> </w:t>
      </w:r>
      <w:r>
        <w:rPr>
          <w:rFonts w:hint="eastAsia" w:ascii="宋体" w:hAnsi="宋体" w:eastAsia="宋体"/>
          <w:b/>
          <w:color w:val="auto"/>
          <w:sz w:val="24"/>
          <w:szCs w:val="24"/>
          <w:highlight w:val="none"/>
          <w:lang w:val="en-US" w:eastAsia="zh-CN"/>
        </w:rPr>
        <w:t>技术文件部分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提供复印件，原件待中标后复查</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1.企业营业执照、税务登记证、组织机构代码证，或三证合一的营业执照；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相关业绩及印证材料；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资质证书和其他所需要的特殊证件。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4.院史馆设计方案</w:t>
      </w:r>
      <w:r>
        <w:rPr>
          <w:rFonts w:hint="eastAsia" w:ascii="宋体" w:hAnsi="宋体" w:eastAsia="宋体" w:cs="宋体"/>
          <w:color w:val="auto"/>
          <w:sz w:val="24"/>
          <w:szCs w:val="24"/>
          <w:highlight w:val="none"/>
          <w:lang w:val="en-US" w:eastAsia="zh-CN"/>
        </w:rPr>
        <w:t>（尺寸：A3）</w:t>
      </w:r>
    </w:p>
    <w:p>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⑴</w:t>
      </w:r>
      <w:r>
        <w:rPr>
          <w:rFonts w:hint="eastAsia" w:ascii="宋体" w:hAnsi="宋体" w:eastAsia="宋体" w:cs="宋体"/>
          <w:color w:val="auto"/>
          <w:sz w:val="24"/>
          <w:szCs w:val="24"/>
          <w:highlight w:val="none"/>
          <w:lang w:val="en-US" w:eastAsia="zh-CN"/>
        </w:rPr>
        <w:t>现场平面图布局图；</w:t>
      </w:r>
    </w:p>
    <w:p>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⑵</w:t>
      </w:r>
      <w:r>
        <w:rPr>
          <w:rFonts w:hint="eastAsia" w:ascii="宋体" w:hAnsi="宋体" w:eastAsia="宋体" w:cs="宋体"/>
          <w:color w:val="auto"/>
          <w:sz w:val="24"/>
          <w:szCs w:val="24"/>
          <w:highlight w:val="none"/>
          <w:lang w:val="en-US" w:eastAsia="zh-CN"/>
        </w:rPr>
        <w:t>效果图、立面图；</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建设实施方案</w:t>
      </w:r>
      <w:r>
        <w:rPr>
          <w:rFonts w:hint="eastAsia" w:ascii="宋体" w:hAnsi="宋体" w:eastAsia="宋体" w:cs="宋体"/>
          <w:color w:val="auto"/>
          <w:sz w:val="24"/>
          <w:szCs w:val="24"/>
          <w:highlight w:val="none"/>
          <w:lang w:val="en-US" w:eastAsia="zh-CN"/>
        </w:rPr>
        <w:t>（尺寸：A3）</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现场施工说明（施工用主材）及CAD施工图纸；</w:t>
      </w:r>
    </w:p>
    <w:p>
      <w:pPr>
        <w:numPr>
          <w:ilvl w:val="0"/>
          <w:numId w:val="0"/>
        </w:num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b/>
          <w:color w:val="auto"/>
          <w:sz w:val="24"/>
          <w:szCs w:val="24"/>
          <w:highlight w:val="none"/>
          <w:lang w:eastAsia="zh-CN"/>
        </w:rPr>
        <w:t>（</w:t>
      </w:r>
      <w:r>
        <w:rPr>
          <w:rFonts w:hint="eastAsia" w:ascii="宋体" w:hAnsi="宋体" w:eastAsia="宋体"/>
          <w:b/>
          <w:color w:val="auto"/>
          <w:sz w:val="24"/>
          <w:szCs w:val="24"/>
          <w:highlight w:val="none"/>
          <w:lang w:val="en-US" w:eastAsia="zh-CN"/>
        </w:rPr>
        <w:t>二</w:t>
      </w:r>
      <w:r>
        <w:rPr>
          <w:rFonts w:hint="eastAsia" w:ascii="宋体" w:hAnsi="宋体" w:eastAsia="宋体"/>
          <w:b/>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 xml:space="preserve">商务标部分 </w:t>
      </w:r>
      <w:r>
        <w:rPr>
          <w:rFonts w:hint="eastAsia" w:ascii="宋体" w:hAnsi="宋体" w:eastAsia="宋体" w:cs="宋体"/>
          <w:color w:val="auto"/>
          <w:sz w:val="24"/>
          <w:szCs w:val="24"/>
          <w:highlight w:val="none"/>
          <w:lang w:val="en-US" w:eastAsia="zh-CN"/>
        </w:rPr>
        <w:t xml:space="preserve"> </w:t>
      </w:r>
    </w:p>
    <w:p>
      <w:pPr>
        <w:numPr>
          <w:ilvl w:val="0"/>
          <w:numId w:val="0"/>
        </w:numPr>
        <w:spacing w:line="360" w:lineRule="auto"/>
        <w:ind w:firstLine="480" w:firstLineChars="200"/>
        <w:rPr>
          <w:rFonts w:hint="default"/>
          <w:highlight w:val="none"/>
          <w:lang w:val="en-US"/>
        </w:rPr>
      </w:pPr>
      <w:r>
        <w:rPr>
          <w:rFonts w:hint="eastAsia" w:ascii="宋体" w:hAnsi="宋体" w:eastAsia="宋体" w:cs="宋体"/>
          <w:color w:val="auto"/>
          <w:sz w:val="24"/>
          <w:szCs w:val="24"/>
          <w:highlight w:val="none"/>
          <w:lang w:val="en-US" w:eastAsia="zh-CN"/>
        </w:rPr>
        <w:t>采用清单方式，</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设计服务</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建设报价单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请单独密封</w:t>
      </w:r>
      <w:r>
        <w:rPr>
          <w:rFonts w:hint="eastAsia" w:ascii="宋体" w:hAnsi="宋体" w:eastAsia="宋体" w:cs="宋体"/>
          <w:color w:val="auto"/>
          <w:sz w:val="24"/>
          <w:szCs w:val="24"/>
          <w:highlight w:val="none"/>
        </w:rPr>
        <w:t>；</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、报价文件递交时间、地点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1.报价文件递交时间：202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日18：00前。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2.报价文件递交地点：</w:t>
      </w:r>
      <w:r>
        <w:rPr>
          <w:rFonts w:hint="eastAsia" w:ascii="宋体" w:hAnsi="宋体" w:eastAsia="宋体" w:cs="宋体"/>
          <w:color w:val="auto"/>
          <w:sz w:val="24"/>
          <w:szCs w:val="24"/>
          <w:highlight w:val="none"/>
          <w:lang w:val="en-US" w:eastAsia="zh-CN"/>
        </w:rPr>
        <w:t>天长市中医院行政楼2楼209室</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3.递交方式：由报价人按照要求制作报价文件，将报价文件按要求密封、标记后在报价当天直接提交到报价地点。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4.报价人必须在报价截止时间前将报价文件递交至报价地点，逾期视同放弃。对报价人提交的报价文件在报价截止时间后不予退还。</w:t>
      </w:r>
    </w:p>
    <w:p>
      <w:pPr>
        <w:numPr>
          <w:ilvl w:val="0"/>
          <w:numId w:val="0"/>
        </w:numPr>
        <w:spacing w:line="360" w:lineRule="auto"/>
        <w:ind w:firstLine="480" w:firstLineChars="200"/>
        <w:outlineLvl w:val="1"/>
        <w:rPr>
          <w:color w:val="auto"/>
          <w:sz w:val="24"/>
          <w:szCs w:val="24"/>
          <w:highlight w:val="none"/>
        </w:rPr>
      </w:pPr>
      <w:r>
        <w:rPr>
          <w:rFonts w:hint="eastAsia" w:ascii="宋体" w:hAnsi="宋体" w:eastAsia="宋体"/>
          <w:b w:val="0"/>
          <w:bCs/>
          <w:color w:val="auto"/>
          <w:sz w:val="24"/>
          <w:szCs w:val="24"/>
          <w:highlight w:val="none"/>
          <w:lang w:val="en-US" w:eastAsia="zh-CN"/>
        </w:rPr>
        <w:t>5.</w:t>
      </w:r>
      <w:r>
        <w:rPr>
          <w:rFonts w:hint="eastAsia" w:ascii="宋体" w:hAnsi="宋体" w:eastAsia="宋体"/>
          <w:b w:val="0"/>
          <w:bCs/>
          <w:color w:val="auto"/>
          <w:sz w:val="24"/>
          <w:szCs w:val="24"/>
          <w:highlight w:val="none"/>
        </w:rPr>
        <w:t>报价要求</w:t>
      </w:r>
      <w:bookmarkEnd w:id="7"/>
      <w:bookmarkEnd w:id="8"/>
      <w:r>
        <w:rPr>
          <w:rFonts w:hint="eastAsia" w:ascii="宋体" w:hAnsi="宋体" w:eastAsia="宋体"/>
          <w:b w:val="0"/>
          <w:bCs/>
          <w:color w:val="auto"/>
          <w:sz w:val="24"/>
          <w:szCs w:val="24"/>
          <w:highlight w:val="none"/>
          <w:lang w:eastAsia="zh-CN"/>
        </w:rPr>
        <w:t>。</w:t>
      </w:r>
      <w:r>
        <w:rPr>
          <w:rFonts w:hint="eastAsia" w:ascii="宋体" w:hAnsi="宋体" w:eastAsia="宋体"/>
          <w:bCs/>
          <w:color w:val="auto"/>
          <w:sz w:val="24"/>
          <w:szCs w:val="24"/>
          <w:highlight w:val="none"/>
        </w:rPr>
        <w:t>磋商报价不得高于采购文件中规定的最高限价，否则作</w:t>
      </w:r>
      <w:r>
        <w:rPr>
          <w:rFonts w:ascii="宋体" w:hAnsi="宋体" w:eastAsia="宋体" w:cs="宋体"/>
          <w:sz w:val="24"/>
          <w:szCs w:val="24"/>
          <w:highlight w:val="none"/>
        </w:rPr>
        <w:t>无效响应文件</w:t>
      </w:r>
      <w:r>
        <w:rPr>
          <w:rFonts w:hint="eastAsia" w:ascii="宋体" w:hAnsi="宋体" w:eastAsia="宋体"/>
          <w:bCs/>
          <w:color w:val="auto"/>
          <w:sz w:val="24"/>
          <w:szCs w:val="24"/>
          <w:highlight w:val="none"/>
        </w:rPr>
        <w:t>处理。磋商报价包括但不限于本项目采购需求的货物及所需设计费、</w:t>
      </w:r>
      <w:r>
        <w:rPr>
          <w:rFonts w:hint="eastAsia" w:ascii="宋体" w:hAnsi="宋体" w:eastAsia="宋体"/>
          <w:bCs/>
          <w:color w:val="auto"/>
          <w:sz w:val="24"/>
          <w:szCs w:val="24"/>
          <w:highlight w:val="none"/>
          <w:lang w:val="en-US" w:eastAsia="zh-CN"/>
        </w:rPr>
        <w:t>施工费、</w:t>
      </w:r>
      <w:r>
        <w:rPr>
          <w:rFonts w:hint="eastAsia" w:ascii="宋体" w:hAnsi="宋体" w:eastAsia="宋体"/>
          <w:bCs/>
          <w:color w:val="auto"/>
          <w:sz w:val="24"/>
          <w:szCs w:val="24"/>
          <w:highlight w:val="none"/>
        </w:rPr>
        <w:t>包装费、运输费、人工费、保险费、各种税费、资料费、售后服务费及完成项目应有的全部费用。且包括（但不限于）与本项目有关的各项服务（安装及安装损耗、调试、培训、技术服务（包括技术资料、图纸的提供）质保期内的售后服务保障等所有费用）及服务中</w:t>
      </w:r>
      <w:r>
        <w:rPr>
          <w:rFonts w:hint="eastAsia" w:ascii="宋体" w:hAnsi="宋体" w:eastAsia="宋体"/>
          <w:bCs/>
          <w:color w:val="auto"/>
          <w:sz w:val="24"/>
          <w:szCs w:val="24"/>
          <w:highlight w:val="none"/>
          <w:lang w:eastAsia="zh-CN"/>
        </w:rPr>
        <w:t>涉及</w:t>
      </w:r>
      <w:r>
        <w:rPr>
          <w:rFonts w:hint="eastAsia" w:ascii="宋体" w:hAnsi="宋体" w:eastAsia="宋体"/>
          <w:bCs/>
          <w:color w:val="auto"/>
          <w:sz w:val="24"/>
          <w:szCs w:val="24"/>
          <w:highlight w:val="none"/>
        </w:rPr>
        <w:t>的一切费用，除此之外，采购人不再提供其他任何费用。</w:t>
      </w:r>
    </w:p>
    <w:p>
      <w:pPr>
        <w:spacing w:line="360" w:lineRule="auto"/>
        <w:ind w:firstLine="437"/>
        <w:outlineLvl w:val="1"/>
        <w:rPr>
          <w:rFonts w:ascii="宋体" w:hAnsi="宋体" w:eastAsia="宋体"/>
          <w:b/>
          <w:color w:val="auto"/>
          <w:sz w:val="24"/>
          <w:szCs w:val="24"/>
          <w:highlight w:val="none"/>
        </w:rPr>
      </w:pPr>
      <w:bookmarkStart w:id="9" w:name="_Toc3530"/>
      <w:bookmarkStart w:id="10" w:name="_Toc23590"/>
      <w:r>
        <w:rPr>
          <w:rFonts w:hint="eastAsia" w:ascii="宋体" w:hAnsi="宋体" w:eastAsia="宋体"/>
          <w:b/>
          <w:color w:val="auto"/>
          <w:sz w:val="24"/>
          <w:szCs w:val="24"/>
          <w:highlight w:val="none"/>
          <w:lang w:eastAsia="zh-CN"/>
        </w:rPr>
        <w:t>六</w:t>
      </w:r>
      <w:r>
        <w:rPr>
          <w:rFonts w:hint="eastAsia" w:ascii="宋体" w:hAnsi="宋体" w:eastAsia="宋体"/>
          <w:b/>
          <w:color w:val="auto"/>
          <w:sz w:val="24"/>
          <w:szCs w:val="24"/>
          <w:highlight w:val="none"/>
        </w:rPr>
        <w:t>、其他</w:t>
      </w:r>
      <w:r>
        <w:rPr>
          <w:rFonts w:hint="eastAsia" w:ascii="宋体" w:hAnsi="宋体" w:eastAsia="宋体"/>
          <w:b/>
          <w:color w:val="auto"/>
          <w:sz w:val="24"/>
          <w:szCs w:val="24"/>
          <w:highlight w:val="none"/>
          <w:lang w:eastAsia="zh-CN"/>
        </w:rPr>
        <w:t>说明和</w:t>
      </w:r>
      <w:r>
        <w:rPr>
          <w:rFonts w:hint="eastAsia" w:ascii="宋体" w:hAnsi="宋体" w:eastAsia="宋体"/>
          <w:b/>
          <w:color w:val="auto"/>
          <w:sz w:val="24"/>
          <w:szCs w:val="24"/>
          <w:highlight w:val="none"/>
        </w:rPr>
        <w:t>要求</w:t>
      </w:r>
      <w:bookmarkEnd w:id="9"/>
      <w:bookmarkEnd w:id="10"/>
    </w:p>
    <w:bookmarkEnd w:id="3"/>
    <w:p>
      <w:pPr>
        <w:numPr>
          <w:ilvl w:val="0"/>
          <w:numId w:val="0"/>
        </w:numPr>
        <w:spacing w:line="360" w:lineRule="auto"/>
        <w:ind w:firstLine="480" w:firstLineChars="200"/>
        <w:outlineLvl w:val="1"/>
        <w:rPr>
          <w:rFonts w:hint="eastAsia" w:ascii="宋体" w:hAnsi="宋体" w:eastAsia="宋体"/>
          <w:bCs/>
          <w:color w:val="auto"/>
          <w:sz w:val="24"/>
          <w:szCs w:val="24"/>
          <w:highlight w:val="none"/>
        </w:rPr>
      </w:pPr>
      <w:bookmarkStart w:id="11" w:name="_Toc23174"/>
      <w:bookmarkStart w:id="12" w:name="_Toc12410"/>
      <w:r>
        <w:rPr>
          <w:rFonts w:hint="eastAsia" w:ascii="宋体" w:hAnsi="宋体" w:eastAsia="宋体"/>
          <w:bCs/>
          <w:color w:val="auto"/>
          <w:sz w:val="24"/>
          <w:szCs w:val="24"/>
          <w:highlight w:val="none"/>
          <w:lang w:eastAsia="zh-CN"/>
        </w:rPr>
        <w:t>1.</w:t>
      </w:r>
      <w:r>
        <w:rPr>
          <w:rFonts w:hint="eastAsia" w:ascii="宋体" w:hAnsi="宋体" w:eastAsia="宋体"/>
          <w:bCs/>
          <w:color w:val="auto"/>
          <w:sz w:val="24"/>
          <w:szCs w:val="24"/>
          <w:highlight w:val="none"/>
        </w:rPr>
        <w:t>免费质保期：2 年（自项目验收合格之日起）。</w:t>
      </w:r>
    </w:p>
    <w:bookmarkEnd w:id="11"/>
    <w:bookmarkEnd w:id="12"/>
    <w:p>
      <w:pPr>
        <w:numPr>
          <w:ilvl w:val="0"/>
          <w:numId w:val="0"/>
        </w:numPr>
        <w:spacing w:line="360" w:lineRule="auto"/>
        <w:ind w:firstLine="480" w:firstLineChars="200"/>
        <w:outlineLvl w:val="1"/>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2.</w:t>
      </w:r>
      <w:r>
        <w:rPr>
          <w:rFonts w:hint="eastAsia" w:ascii="宋体" w:hAnsi="宋体" w:eastAsia="宋体"/>
          <w:bCs/>
          <w:color w:val="auto"/>
          <w:sz w:val="24"/>
          <w:szCs w:val="24"/>
          <w:highlight w:val="none"/>
        </w:rPr>
        <w:t>成交人和采购人双方共同实施验收工作，结果和验收报告经双方确认后生效。</w:t>
      </w:r>
    </w:p>
    <w:p>
      <w:pPr>
        <w:numPr>
          <w:ilvl w:val="0"/>
          <w:numId w:val="0"/>
        </w:numPr>
        <w:spacing w:line="360" w:lineRule="auto"/>
        <w:ind w:firstLine="480" w:firstLineChars="200"/>
        <w:outlineLvl w:val="1"/>
        <w:rPr>
          <w:rFonts w:hint="eastAsia" w:ascii="宋体" w:hAnsi="宋体" w:eastAsia="宋体" w:cs="宋体"/>
          <w:color w:val="auto"/>
          <w:sz w:val="24"/>
          <w:szCs w:val="24"/>
          <w:highlight w:val="none"/>
        </w:rPr>
      </w:pPr>
      <w:r>
        <w:rPr>
          <w:rFonts w:hint="eastAsia" w:ascii="宋体" w:hAnsi="宋体" w:eastAsia="宋体"/>
          <w:bCs/>
          <w:color w:val="auto"/>
          <w:sz w:val="24"/>
          <w:szCs w:val="24"/>
          <w:highlight w:val="none"/>
        </w:rPr>
        <w:t>    联系人：</w:t>
      </w:r>
      <w:r>
        <w:rPr>
          <w:rFonts w:hint="eastAsia" w:ascii="宋体" w:hAnsi="宋体" w:eastAsia="宋体" w:cs="宋体"/>
          <w:color w:val="auto"/>
          <w:sz w:val="24"/>
          <w:szCs w:val="24"/>
          <w:highlight w:val="none"/>
          <w:lang w:val="en-US" w:eastAsia="zh-CN"/>
        </w:rPr>
        <w:t>杨秋香</w:t>
      </w:r>
      <w:r>
        <w:rPr>
          <w:rFonts w:hint="eastAsia" w:ascii="宋体" w:hAnsi="宋体" w:eastAsia="宋体" w:cs="宋体"/>
          <w:color w:val="auto"/>
          <w:sz w:val="24"/>
          <w:szCs w:val="24"/>
          <w:highlight w:val="none"/>
        </w:rPr>
        <w:t>。</w:t>
      </w:r>
      <w:r>
        <w:rPr>
          <w:rFonts w:hint="eastAsia" w:ascii="宋体" w:hAnsi="宋体" w:eastAsia="宋体"/>
          <w:bCs/>
          <w:color w:val="auto"/>
          <w:sz w:val="24"/>
          <w:szCs w:val="24"/>
          <w:highlight w:val="none"/>
        </w:rPr>
        <w:t>    联系电话：</w:t>
      </w:r>
      <w:r>
        <w:rPr>
          <w:rFonts w:hint="eastAsia" w:ascii="宋体" w:hAnsi="宋体" w:eastAsia="宋体" w:cs="宋体"/>
          <w:color w:val="auto"/>
          <w:sz w:val="24"/>
          <w:szCs w:val="24"/>
          <w:highlight w:val="none"/>
          <w:lang w:val="en-US" w:eastAsia="zh-CN"/>
        </w:rPr>
        <w:t>0550-7021777</w:t>
      </w:r>
      <w:r>
        <w:rPr>
          <w:rFonts w:hint="eastAsia" w:ascii="宋体" w:hAnsi="宋体" w:eastAsia="宋体" w:cs="宋体"/>
          <w:color w:val="auto"/>
          <w:sz w:val="24"/>
          <w:szCs w:val="24"/>
          <w:highlight w:val="none"/>
        </w:rPr>
        <w:t>。</w:t>
      </w:r>
    </w:p>
    <w:p>
      <w:pPr>
        <w:numPr>
          <w:ilvl w:val="0"/>
          <w:numId w:val="0"/>
        </w:numPr>
        <w:spacing w:line="360" w:lineRule="auto"/>
        <w:ind w:firstLine="480" w:firstLineChars="200"/>
        <w:outlineLvl w:val="1"/>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    联系地址：</w:t>
      </w:r>
      <w:r>
        <w:rPr>
          <w:rFonts w:hint="eastAsia" w:ascii="宋体" w:hAnsi="宋体" w:eastAsia="宋体" w:cs="宋体"/>
          <w:color w:val="auto"/>
          <w:sz w:val="24"/>
          <w:szCs w:val="24"/>
          <w:highlight w:val="none"/>
          <w:lang w:val="en-US" w:eastAsia="zh-CN"/>
        </w:rPr>
        <w:t>天长市中医院行政楼2楼209室</w:t>
      </w:r>
      <w:r>
        <w:rPr>
          <w:rFonts w:hint="eastAsia" w:ascii="宋体" w:hAnsi="宋体" w:eastAsia="宋体" w:cs="宋体"/>
          <w:color w:val="auto"/>
          <w:sz w:val="24"/>
          <w:szCs w:val="24"/>
          <w:highlight w:val="none"/>
        </w:rPr>
        <w:t>。</w:t>
      </w:r>
      <w:r>
        <w:rPr>
          <w:rFonts w:hint="eastAsia" w:ascii="宋体" w:hAnsi="宋体" w:eastAsia="宋体"/>
          <w:bCs/>
          <w:color w:val="auto"/>
          <w:sz w:val="24"/>
          <w:szCs w:val="24"/>
          <w:highlight w:val="none"/>
        </w:rPr>
        <w:t xml:space="preserve">    </w:t>
      </w:r>
    </w:p>
    <w:p>
      <w:pPr>
        <w:numPr>
          <w:ilvl w:val="0"/>
          <w:numId w:val="0"/>
        </w:numPr>
        <w:spacing w:line="360" w:lineRule="auto"/>
        <w:ind w:firstLine="480" w:firstLineChars="200"/>
        <w:outlineLvl w:val="1"/>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注：以上内容可根据项目实际情况进行修改。</w:t>
      </w:r>
    </w:p>
    <w:p>
      <w:pPr>
        <w:pStyle w:val="2"/>
        <w:rPr>
          <w:rFonts w:hint="eastAsia" w:ascii="宋体" w:hAnsi="宋体" w:eastAsia="宋体"/>
          <w:bCs/>
          <w:color w:val="auto"/>
          <w:sz w:val="24"/>
          <w:szCs w:val="24"/>
          <w:highlight w:val="none"/>
        </w:rPr>
      </w:pPr>
    </w:p>
    <w:p>
      <w:pPr>
        <w:pStyle w:val="4"/>
        <w:rPr>
          <w:rFonts w:hint="default"/>
        </w:rPr>
      </w:pPr>
    </w:p>
    <w:p>
      <w:pPr>
        <w:numPr>
          <w:ilvl w:val="0"/>
          <w:numId w:val="0"/>
        </w:numPr>
        <w:spacing w:line="360" w:lineRule="auto"/>
        <w:jc w:val="right"/>
        <w:outlineLvl w:val="1"/>
        <w:rPr>
          <w:rFonts w:hint="eastAsia" w:ascii="宋体" w:hAnsi="宋体" w:eastAsia="宋体"/>
          <w:bCs/>
          <w:color w:val="auto"/>
          <w:sz w:val="24"/>
          <w:szCs w:val="24"/>
          <w:highlight w:val="none"/>
          <w:lang w:val="en-US" w:eastAsia="zh-CN"/>
        </w:rPr>
      </w:pPr>
      <w:bookmarkStart w:id="14" w:name="_GoBack"/>
      <w:bookmarkEnd w:id="14"/>
      <w:r>
        <w:rPr>
          <w:rFonts w:hint="eastAsia" w:ascii="宋体" w:hAnsi="宋体" w:eastAsia="宋体"/>
          <w:bCs/>
          <w:color w:val="auto"/>
          <w:sz w:val="24"/>
          <w:szCs w:val="24"/>
          <w:highlight w:val="none"/>
          <w:lang w:val="en-US" w:eastAsia="zh-CN"/>
        </w:rPr>
        <w:t>天长市中医院</w:t>
      </w:r>
    </w:p>
    <w:p>
      <w:pPr>
        <w:pStyle w:val="2"/>
        <w:ind w:left="0" w:leftChars="0" w:firstLine="0" w:firstLineChars="0"/>
        <w:jc w:val="right"/>
        <w:rPr>
          <w:rFonts w:hint="default"/>
          <w:lang w:val="en-US" w:eastAsia="zh-CN"/>
        </w:rPr>
      </w:pPr>
      <w:r>
        <w:rPr>
          <w:rFonts w:hint="eastAsia" w:ascii="宋体" w:hAnsi="宋体" w:eastAsia="宋体"/>
          <w:bCs/>
          <w:color w:val="auto"/>
          <w:sz w:val="24"/>
          <w:szCs w:val="24"/>
          <w:highlight w:val="none"/>
          <w:lang w:val="en-US" w:eastAsia="zh-CN"/>
        </w:rPr>
        <w:t>2026年9月1日</w:t>
      </w: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eastAsia" w:ascii="宋体" w:hAnsi="宋体" w:eastAsia="宋体" w:cs="宋体"/>
          <w:b/>
          <w:bCs/>
          <w:spacing w:val="-4"/>
          <w:sz w:val="40"/>
          <w:szCs w:val="40"/>
          <w:highlight w:val="none"/>
          <w:lang w:val="en-US" w:eastAsia="zh-CN"/>
        </w:rPr>
      </w:pPr>
    </w:p>
    <w:p>
      <w:pPr>
        <w:spacing w:before="12" w:line="220" w:lineRule="auto"/>
        <w:ind w:firstLine="787" w:firstLineChars="200"/>
        <w:jc w:val="center"/>
        <w:rPr>
          <w:rFonts w:hint="default" w:ascii="宋体" w:hAnsi="宋体" w:eastAsia="宋体" w:cs="宋体"/>
          <w:b/>
          <w:bCs/>
          <w:spacing w:val="-4"/>
          <w:sz w:val="40"/>
          <w:szCs w:val="40"/>
          <w:highlight w:val="none"/>
          <w:lang w:val="en-US" w:eastAsia="zh-CN"/>
        </w:rPr>
      </w:pPr>
      <w:r>
        <w:rPr>
          <w:rFonts w:hint="eastAsia" w:ascii="宋体" w:hAnsi="宋体" w:eastAsia="宋体" w:cs="宋体"/>
          <w:b/>
          <w:bCs/>
          <w:spacing w:val="-4"/>
          <w:sz w:val="40"/>
          <w:szCs w:val="40"/>
          <w:highlight w:val="none"/>
          <w:lang w:val="en-US" w:eastAsia="zh-CN"/>
        </w:rPr>
        <w:t>评分办法</w:t>
      </w:r>
    </w:p>
    <w:p>
      <w:pPr>
        <w:spacing w:before="12" w:line="220" w:lineRule="auto"/>
        <w:ind w:firstLine="426" w:firstLineChars="200"/>
        <w:rPr>
          <w:rFonts w:hint="eastAsia" w:ascii="宋体" w:hAnsi="宋体" w:eastAsia="宋体" w:cs="宋体"/>
          <w:b/>
          <w:bCs/>
          <w:spacing w:val="-4"/>
          <w:sz w:val="22"/>
          <w:szCs w:val="22"/>
          <w:highlight w:val="none"/>
          <w:lang w:val="en-US" w:eastAsia="zh-CN"/>
        </w:rPr>
      </w:pPr>
    </w:p>
    <w:p>
      <w:pPr>
        <w:spacing w:before="12" w:line="220" w:lineRule="auto"/>
        <w:ind w:firstLine="466" w:firstLineChars="200"/>
        <w:rPr>
          <w:rFonts w:ascii="宋体" w:hAnsi="宋体" w:eastAsia="宋体" w:cs="宋体"/>
          <w:sz w:val="24"/>
          <w:szCs w:val="24"/>
          <w:highlight w:val="none"/>
        </w:rPr>
      </w:pPr>
      <w:r>
        <w:rPr>
          <w:rFonts w:hint="eastAsia" w:ascii="宋体" w:hAnsi="宋体" w:eastAsia="宋体" w:cs="宋体"/>
          <w:b/>
          <w:bCs/>
          <w:spacing w:val="-4"/>
          <w:sz w:val="24"/>
          <w:szCs w:val="24"/>
          <w:highlight w:val="none"/>
          <w:lang w:val="en-US" w:eastAsia="zh-CN"/>
        </w:rPr>
        <w:t>1.</w:t>
      </w:r>
      <w:r>
        <w:rPr>
          <w:rFonts w:ascii="宋体" w:hAnsi="宋体" w:eastAsia="宋体" w:cs="宋体"/>
          <w:b/>
          <w:bCs/>
          <w:spacing w:val="-4"/>
          <w:sz w:val="24"/>
          <w:szCs w:val="24"/>
          <w:highlight w:val="none"/>
        </w:rPr>
        <w:t>资信标评审细则（</w:t>
      </w:r>
      <w:r>
        <w:rPr>
          <w:rFonts w:hint="eastAsia" w:ascii="宋体" w:hAnsi="宋体" w:eastAsia="宋体" w:cs="宋体"/>
          <w:b/>
          <w:bCs/>
          <w:spacing w:val="-4"/>
          <w:sz w:val="24"/>
          <w:szCs w:val="24"/>
          <w:highlight w:val="none"/>
          <w:lang w:val="en-US" w:eastAsia="zh-CN"/>
        </w:rPr>
        <w:t>15</w:t>
      </w:r>
      <w:r>
        <w:rPr>
          <w:rFonts w:ascii="宋体" w:hAnsi="宋体" w:eastAsia="宋体" w:cs="宋体"/>
          <w:b/>
          <w:bCs/>
          <w:spacing w:val="-4"/>
          <w:sz w:val="24"/>
          <w:szCs w:val="24"/>
          <w:highlight w:val="none"/>
        </w:rPr>
        <w:t>分）</w:t>
      </w:r>
    </w:p>
    <w:p>
      <w:pPr>
        <w:pStyle w:val="15"/>
        <w:spacing w:before="141" w:line="210" w:lineRule="auto"/>
        <w:ind w:left="135"/>
        <w:rPr>
          <w:sz w:val="24"/>
          <w:szCs w:val="24"/>
          <w:highlight w:val="none"/>
        </w:rPr>
      </w:pPr>
    </w:p>
    <w:tbl>
      <w:tblPr>
        <w:tblStyle w:val="16"/>
        <w:tblW w:w="96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694"/>
        <w:gridCol w:w="626"/>
        <w:gridCol w:w="612"/>
        <w:gridCol w:w="5814"/>
        <w:gridCol w:w="188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694" w:type="dxa"/>
            <w:textDirection w:val="tbRlV"/>
            <w:vAlign w:val="center"/>
          </w:tcPr>
          <w:p>
            <w:pPr>
              <w:pStyle w:val="15"/>
              <w:snapToGrid w:val="0"/>
              <w:spacing w:before="113" w:line="240" w:lineRule="auto"/>
              <w:ind w:left="0" w:leftChars="0" w:right="0" w:rightChars="0" w:firstLine="0" w:firstLineChars="0"/>
              <w:jc w:val="center"/>
              <w:rPr>
                <w:rFonts w:hint="default" w:eastAsia="宋体"/>
                <w:b/>
                <w:sz w:val="21"/>
                <w:szCs w:val="21"/>
                <w:highlight w:val="none"/>
                <w:lang w:val="en-US" w:eastAsia="zh-CN"/>
              </w:rPr>
            </w:pPr>
            <w:r>
              <w:rPr>
                <w:rFonts w:hint="eastAsia"/>
                <w:b/>
                <w:spacing w:val="-2"/>
                <w:sz w:val="21"/>
                <w:szCs w:val="21"/>
                <w:highlight w:val="none"/>
                <w:lang w:val="en-US" w:eastAsia="zh-CN"/>
              </w:rPr>
              <w:t>序号</w:t>
            </w:r>
          </w:p>
        </w:tc>
        <w:tc>
          <w:tcPr>
            <w:tcW w:w="626" w:type="dxa"/>
            <w:vAlign w:val="center"/>
          </w:tcPr>
          <w:p>
            <w:pPr>
              <w:pStyle w:val="15"/>
              <w:snapToGrid w:val="0"/>
              <w:spacing w:before="68" w:line="240" w:lineRule="auto"/>
              <w:ind w:left="0" w:leftChars="0" w:right="0" w:rightChars="0" w:firstLine="0" w:firstLineChars="0"/>
              <w:jc w:val="center"/>
              <w:rPr>
                <w:b/>
                <w:sz w:val="21"/>
                <w:szCs w:val="21"/>
                <w:highlight w:val="none"/>
              </w:rPr>
            </w:pPr>
            <w:r>
              <w:rPr>
                <w:b/>
                <w:spacing w:val="-2"/>
                <w:sz w:val="21"/>
                <w:szCs w:val="21"/>
                <w:highlight w:val="none"/>
              </w:rPr>
              <w:t>评分因素</w:t>
            </w:r>
          </w:p>
        </w:tc>
        <w:tc>
          <w:tcPr>
            <w:tcW w:w="612" w:type="dxa"/>
            <w:vAlign w:val="center"/>
          </w:tcPr>
          <w:p>
            <w:pPr>
              <w:pStyle w:val="15"/>
              <w:snapToGrid w:val="0"/>
              <w:spacing w:before="68" w:line="240" w:lineRule="auto"/>
              <w:ind w:left="0" w:leftChars="0" w:right="0" w:rightChars="0" w:firstLine="0" w:firstLineChars="0"/>
              <w:jc w:val="center"/>
              <w:rPr>
                <w:b/>
                <w:sz w:val="21"/>
                <w:szCs w:val="21"/>
                <w:highlight w:val="none"/>
              </w:rPr>
            </w:pPr>
            <w:r>
              <w:rPr>
                <w:b/>
                <w:spacing w:val="-3"/>
                <w:sz w:val="21"/>
                <w:szCs w:val="21"/>
                <w:highlight w:val="none"/>
              </w:rPr>
              <w:t>分值</w:t>
            </w:r>
          </w:p>
        </w:tc>
        <w:tc>
          <w:tcPr>
            <w:tcW w:w="5814" w:type="dxa"/>
            <w:vAlign w:val="center"/>
          </w:tcPr>
          <w:p>
            <w:pPr>
              <w:pStyle w:val="15"/>
              <w:snapToGrid w:val="0"/>
              <w:spacing w:before="68" w:line="240" w:lineRule="auto"/>
              <w:ind w:left="0" w:leftChars="0" w:right="0" w:rightChars="0" w:firstLine="0" w:firstLineChars="0"/>
              <w:jc w:val="center"/>
              <w:rPr>
                <w:b/>
                <w:sz w:val="21"/>
                <w:szCs w:val="21"/>
                <w:highlight w:val="none"/>
              </w:rPr>
            </w:pPr>
            <w:r>
              <w:rPr>
                <w:b/>
                <w:spacing w:val="-2"/>
                <w:sz w:val="21"/>
                <w:szCs w:val="21"/>
                <w:highlight w:val="none"/>
              </w:rPr>
              <w:t>评审细则</w:t>
            </w:r>
          </w:p>
        </w:tc>
        <w:tc>
          <w:tcPr>
            <w:tcW w:w="1888" w:type="dxa"/>
            <w:vAlign w:val="center"/>
          </w:tcPr>
          <w:p>
            <w:pPr>
              <w:pStyle w:val="15"/>
              <w:snapToGrid w:val="0"/>
              <w:spacing w:before="134" w:line="240" w:lineRule="auto"/>
              <w:ind w:left="0" w:leftChars="0" w:right="0" w:rightChars="0" w:firstLine="0" w:firstLineChars="0"/>
              <w:jc w:val="center"/>
              <w:rPr>
                <w:b/>
                <w:sz w:val="21"/>
                <w:szCs w:val="21"/>
                <w:highlight w:val="none"/>
              </w:rPr>
            </w:pPr>
            <w:r>
              <w:rPr>
                <w:b/>
                <w:spacing w:val="-2"/>
                <w:sz w:val="21"/>
                <w:szCs w:val="21"/>
                <w:highlight w:val="none"/>
              </w:rPr>
              <w:t>须提供的证明材料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87" w:hRule="atLeast"/>
        </w:trPr>
        <w:tc>
          <w:tcPr>
            <w:tcW w:w="694" w:type="dxa"/>
            <w:vAlign w:val="center"/>
          </w:tcPr>
          <w:p>
            <w:pPr>
              <w:pStyle w:val="15"/>
              <w:snapToGrid w:val="0"/>
              <w:spacing w:before="69" w:line="24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626" w:type="dxa"/>
            <w:vAlign w:val="center"/>
          </w:tcPr>
          <w:p>
            <w:pPr>
              <w:pStyle w:val="15"/>
              <w:snapToGrid w:val="0"/>
              <w:spacing w:before="69" w:line="24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企业业绩</w:t>
            </w:r>
          </w:p>
        </w:tc>
        <w:tc>
          <w:tcPr>
            <w:tcW w:w="612"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5814" w:type="dxa"/>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自 2023年 1 月 1 展馆布展施工或设计施工项目业绩日至投标截止时间前，投标人承建过中医院展馆布展施工或设计施工项目业绩，每提供一个上述对应业绩的得 3 分，本项最高得 9分；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注：须同时提供以下证明材料的原件彩色扫描件，否则不得分：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napToGrid w:val="0"/>
                <w:color w:val="000000"/>
                <w:spacing w:val="-2"/>
                <w:kern w:val="0"/>
                <w:sz w:val="21"/>
                <w:szCs w:val="21"/>
                <w:highlight w:val="none"/>
                <w:lang w:val="en-US" w:eastAsia="zh-CN" w:bidi="ar-SA"/>
              </w:rPr>
              <w:t>①中标通知书 (须加盖招投标管理部门印章或招投标管理部门备案印章或交易中心印章，无印章的还须提供公共资源交易平台官网发布的中标公示网页截图及网址链接)；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napToGrid w:val="0"/>
                <w:color w:val="000000"/>
                <w:spacing w:val="-2"/>
                <w:kern w:val="0"/>
                <w:sz w:val="21"/>
                <w:szCs w:val="21"/>
                <w:highlight w:val="none"/>
                <w:lang w:val="en-US" w:eastAsia="zh-CN" w:bidi="ar-SA"/>
              </w:rPr>
              <w:t>②业绩合同。业绩时间以合同签署日期为准，业绩金额以合同签订金额为准，业绩类型以合同内容为准。如上述材料中无法反映出合同金额、业绩类型的，投标人还需提供项目业绩建设单位出具的证明材料，并加盖项目业绩建设单位公章，原件彩色扫描件。</w:t>
            </w:r>
          </w:p>
        </w:tc>
        <w:tc>
          <w:tcPr>
            <w:tcW w:w="1888" w:type="dxa"/>
            <w:vAlign w:val="center"/>
          </w:tcPr>
          <w:p>
            <w:pPr>
              <w:pStyle w:val="15"/>
              <w:snapToGrid w:val="0"/>
              <w:spacing w:before="68" w:line="240" w:lineRule="auto"/>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spacing w:val="32"/>
                <w:sz w:val="21"/>
                <w:szCs w:val="21"/>
                <w:highlight w:val="none"/>
              </w:rPr>
              <w:t>证明材料</w:t>
            </w:r>
            <w:r>
              <w:rPr>
                <w:rFonts w:hint="eastAsia" w:ascii="宋体" w:hAnsi="宋体" w:eastAsia="宋体" w:cs="宋体"/>
                <w:spacing w:val="-11"/>
                <w:sz w:val="21"/>
                <w:szCs w:val="21"/>
                <w:highlight w:val="none"/>
              </w:rPr>
              <w:t>扫描上传，</w:t>
            </w:r>
            <w:r>
              <w:rPr>
                <w:rFonts w:hint="eastAsia" w:ascii="宋体" w:hAnsi="宋体" w:eastAsia="宋体" w:cs="宋体"/>
                <w:spacing w:val="32"/>
                <w:sz w:val="21"/>
                <w:szCs w:val="21"/>
                <w:highlight w:val="none"/>
              </w:rPr>
              <w:t>检验电子</w:t>
            </w:r>
            <w:r>
              <w:rPr>
                <w:rFonts w:hint="eastAsia" w:ascii="宋体" w:hAnsi="宋体" w:eastAsia="宋体" w:cs="宋体"/>
                <w:spacing w:val="-2"/>
                <w:sz w:val="21"/>
                <w:szCs w:val="21"/>
                <w:highlight w:val="none"/>
              </w:rPr>
              <w:t>标书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49" w:hRule="atLeast"/>
        </w:trPr>
        <w:tc>
          <w:tcPr>
            <w:tcW w:w="694" w:type="dxa"/>
            <w:vAlign w:val="center"/>
          </w:tcPr>
          <w:p>
            <w:pPr>
              <w:pStyle w:val="15"/>
              <w:snapToGrid w:val="0"/>
              <w:spacing w:before="69"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626" w:type="dxa"/>
            <w:vAlign w:val="center"/>
          </w:tcPr>
          <w:p>
            <w:pPr>
              <w:pStyle w:val="15"/>
              <w:snapToGrid w:val="0"/>
              <w:spacing w:before="69" w:line="240" w:lineRule="auto"/>
              <w:ind w:left="0" w:leftChars="0" w:right="0" w:righ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人员配备</w:t>
            </w:r>
          </w:p>
        </w:tc>
        <w:tc>
          <w:tcPr>
            <w:tcW w:w="612"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5814" w:type="dxa"/>
            <w:vAlign w:val="center"/>
          </w:tcPr>
          <w:p>
            <w:pPr>
              <w:pStyle w:val="15"/>
              <w:numPr>
                <w:ilvl w:val="0"/>
                <w:numId w:val="0"/>
              </w:numPr>
              <w:snapToGrid w:val="0"/>
              <w:spacing w:before="113" w:line="240" w:lineRule="auto"/>
              <w:ind w:left="0" w:leftChars="0" w:right="0" w:rightChars="0" w:firstLine="0" w:firstLineChars="0"/>
              <w:jc w:val="both"/>
              <w:rPr>
                <w:rFonts w:hint="eastAsia" w:ascii="宋体" w:hAnsi="宋体" w:eastAsia="宋体" w:cs="宋体"/>
                <w:sz w:val="21"/>
                <w:szCs w:val="21"/>
                <w:highlight w:val="none"/>
                <w:lang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①项目负责人具有文物博物类、工程类中级及以上职称的得2分，满分2分。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②团队中具有工程类中级及以上职称的得2分，满分2分；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napToGrid w:val="0"/>
                <w:color w:val="000000"/>
                <w:spacing w:val="-2"/>
                <w:kern w:val="0"/>
                <w:sz w:val="21"/>
                <w:szCs w:val="21"/>
                <w:highlight w:val="none"/>
                <w:lang w:val="en-US" w:eastAsia="zh-CN" w:bidi="ar-SA"/>
              </w:rPr>
            </w:pPr>
            <w:r>
              <w:rPr>
                <w:rFonts w:hint="default" w:ascii="宋体" w:hAnsi="宋体" w:eastAsia="宋体" w:cs="宋体"/>
                <w:snapToGrid w:val="0"/>
                <w:color w:val="000000"/>
                <w:spacing w:val="-2"/>
                <w:kern w:val="0"/>
                <w:sz w:val="21"/>
                <w:szCs w:val="21"/>
                <w:highlight w:val="none"/>
                <w:lang w:val="en-US" w:eastAsia="zh-CN" w:bidi="ar-SA"/>
              </w:rPr>
              <w:t>③</w:t>
            </w:r>
            <w:r>
              <w:rPr>
                <w:rFonts w:hint="eastAsia" w:ascii="宋体" w:hAnsi="宋体" w:eastAsia="宋体" w:cs="宋体"/>
                <w:snapToGrid w:val="0"/>
                <w:color w:val="000000"/>
                <w:spacing w:val="-2"/>
                <w:kern w:val="0"/>
                <w:sz w:val="21"/>
                <w:szCs w:val="21"/>
                <w:highlight w:val="none"/>
                <w:lang w:val="en-US" w:eastAsia="zh-CN" w:bidi="ar-SA"/>
              </w:rPr>
              <w:t>团队中具有展陈设计师、平面设计师证书的得2分，满分2分。</w:t>
            </w:r>
          </w:p>
          <w:p>
            <w:pPr>
              <w:pStyle w:val="15"/>
              <w:numPr>
                <w:ilvl w:val="0"/>
                <w:numId w:val="0"/>
              </w:numPr>
              <w:snapToGrid w:val="0"/>
              <w:spacing w:before="113" w:line="240" w:lineRule="auto"/>
              <w:ind w:left="0" w:leftChars="0" w:right="0" w:rightChars="0" w:firstLine="0" w:firstLineChars="0"/>
              <w:jc w:val="both"/>
              <w:rPr>
                <w:rFonts w:hint="eastAsia" w:ascii="宋体" w:hAnsi="宋体" w:eastAsia="宋体" w:cs="宋体"/>
                <w:sz w:val="21"/>
                <w:szCs w:val="21"/>
                <w:highlight w:val="none"/>
                <w:lang w:eastAsia="zh-CN"/>
              </w:rPr>
            </w:pPr>
          </w:p>
        </w:tc>
        <w:tc>
          <w:tcPr>
            <w:tcW w:w="1888" w:type="dxa"/>
            <w:vAlign w:val="center"/>
          </w:tcPr>
          <w:p>
            <w:pPr>
              <w:pStyle w:val="15"/>
              <w:snapToGrid w:val="0"/>
              <w:spacing w:before="68" w:line="240" w:lineRule="auto"/>
              <w:ind w:left="0" w:leftChars="0" w:right="0" w:rightChars="0" w:firstLine="0" w:firstLineChars="0"/>
              <w:jc w:val="left"/>
              <w:rPr>
                <w:rFonts w:hint="default" w:ascii="宋体" w:hAnsi="宋体" w:eastAsia="宋体" w:cs="宋体"/>
                <w:spacing w:val="32"/>
                <w:sz w:val="21"/>
                <w:szCs w:val="21"/>
                <w:highlight w:val="none"/>
                <w:lang w:val="en-US"/>
              </w:rPr>
            </w:pPr>
            <w:r>
              <w:rPr>
                <w:rFonts w:hint="eastAsia" w:ascii="宋体" w:hAnsi="宋体" w:eastAsia="宋体" w:cs="宋体"/>
                <w:snapToGrid w:val="0"/>
                <w:color w:val="000000"/>
                <w:spacing w:val="-2"/>
                <w:kern w:val="0"/>
                <w:sz w:val="21"/>
                <w:szCs w:val="21"/>
                <w:highlight w:val="none"/>
                <w:lang w:val="en-US" w:eastAsia="zh-CN" w:bidi="ar-SA"/>
              </w:rPr>
              <w:t>①②</w:t>
            </w:r>
            <w:r>
              <w:rPr>
                <w:rFonts w:hint="eastAsia" w:cs="宋体"/>
                <w:snapToGrid w:val="0"/>
                <w:color w:val="000000"/>
                <w:spacing w:val="-2"/>
                <w:kern w:val="0"/>
                <w:sz w:val="21"/>
                <w:szCs w:val="21"/>
                <w:highlight w:val="none"/>
                <w:lang w:val="en-US" w:eastAsia="zh-CN" w:bidi="ar-SA"/>
              </w:rPr>
              <w:t>两项不累计得分</w:t>
            </w:r>
          </w:p>
        </w:tc>
      </w:tr>
    </w:tbl>
    <w:p>
      <w:pPr>
        <w:pStyle w:val="5"/>
        <w:spacing w:line="240" w:lineRule="auto"/>
        <w:rPr>
          <w:rFonts w:hint="eastAsia" w:ascii="宋体" w:hAnsi="宋体" w:eastAsia="宋体" w:cs="宋体"/>
          <w:sz w:val="21"/>
          <w:szCs w:val="21"/>
          <w:highlight w:val="none"/>
        </w:rPr>
      </w:pPr>
    </w:p>
    <w:p>
      <w:pPr>
        <w:spacing w:line="240" w:lineRule="auto"/>
        <w:rPr>
          <w:rFonts w:hint="eastAsia" w:ascii="宋体" w:hAnsi="宋体" w:eastAsia="宋体" w:cs="宋体"/>
          <w:sz w:val="24"/>
          <w:szCs w:val="24"/>
          <w:highlight w:val="none"/>
        </w:rPr>
        <w:sectPr>
          <w:footerReference r:id="rId5" w:type="default"/>
          <w:pgSz w:w="11910" w:h="16845"/>
          <w:pgMar w:top="1234" w:right="1351" w:bottom="855" w:left="1141" w:header="0" w:footer="629" w:gutter="0"/>
          <w:pgNumType w:fmt="decimal"/>
          <w:cols w:space="720" w:num="1"/>
        </w:sectPr>
      </w:pPr>
    </w:p>
    <w:p>
      <w:pPr>
        <w:spacing w:before="12" w:line="240" w:lineRule="auto"/>
        <w:ind w:firstLine="466" w:firstLineChars="200"/>
        <w:rPr>
          <w:rFonts w:hint="eastAsia" w:ascii="宋体" w:hAnsi="宋体" w:eastAsia="宋体" w:cs="宋体"/>
          <w:b/>
          <w:bCs/>
          <w:spacing w:val="-4"/>
          <w:sz w:val="24"/>
          <w:szCs w:val="24"/>
          <w:highlight w:val="none"/>
          <w:lang w:val="en-US" w:eastAsia="zh-CN"/>
        </w:rPr>
      </w:pPr>
      <w:r>
        <w:rPr>
          <w:rFonts w:hint="eastAsia" w:ascii="宋体" w:hAnsi="宋体" w:eastAsia="宋体" w:cs="宋体"/>
          <w:b/>
          <w:bCs/>
          <w:spacing w:val="-4"/>
          <w:sz w:val="24"/>
          <w:szCs w:val="24"/>
          <w:highlight w:val="none"/>
          <w:lang w:val="en-US" w:eastAsia="zh-CN"/>
        </w:rPr>
        <w:t>2.技术标评审细则（65 分）</w:t>
      </w:r>
    </w:p>
    <w:p>
      <w:pPr>
        <w:spacing w:line="240" w:lineRule="auto"/>
        <w:rPr>
          <w:rFonts w:hint="eastAsia" w:ascii="宋体" w:hAnsi="宋体" w:eastAsia="宋体" w:cs="宋体"/>
          <w:sz w:val="24"/>
          <w:szCs w:val="24"/>
          <w:highlight w:val="none"/>
        </w:rPr>
      </w:pPr>
    </w:p>
    <w:tbl>
      <w:tblPr>
        <w:tblStyle w:val="16"/>
        <w:tblW w:w="9292" w:type="dxa"/>
        <w:tblInd w:w="-5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0"/>
        <w:gridCol w:w="810"/>
        <w:gridCol w:w="610"/>
        <w:gridCol w:w="5460"/>
        <w:gridCol w:w="18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520" w:type="dxa"/>
            <w:textDirection w:val="tbRlV"/>
            <w:vAlign w:val="center"/>
          </w:tcPr>
          <w:p>
            <w:pPr>
              <w:pStyle w:val="15"/>
              <w:snapToGrid w:val="0"/>
              <w:spacing w:before="156" w:line="240" w:lineRule="auto"/>
              <w:ind w:left="0" w:leftChars="0" w:right="0" w:rightChars="0" w:firstLine="0" w:firstLineChars="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8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b/>
                <w:sz w:val="21"/>
                <w:szCs w:val="21"/>
                <w:highlight w:val="none"/>
              </w:rPr>
            </w:pPr>
            <w:r>
              <w:rPr>
                <w:rFonts w:hint="eastAsia" w:ascii="宋体" w:hAnsi="宋体" w:eastAsia="宋体" w:cs="宋体"/>
                <w:b/>
                <w:spacing w:val="-2"/>
                <w:sz w:val="21"/>
                <w:szCs w:val="21"/>
                <w:highlight w:val="none"/>
              </w:rPr>
              <w:t>评分因素</w:t>
            </w:r>
          </w:p>
        </w:tc>
        <w:tc>
          <w:tcPr>
            <w:tcW w:w="6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b/>
                <w:sz w:val="21"/>
                <w:szCs w:val="21"/>
                <w:highlight w:val="none"/>
              </w:rPr>
            </w:pPr>
            <w:r>
              <w:rPr>
                <w:rFonts w:hint="eastAsia" w:ascii="宋体" w:hAnsi="宋体" w:eastAsia="宋体" w:cs="宋体"/>
                <w:b/>
                <w:spacing w:val="-3"/>
                <w:sz w:val="21"/>
                <w:szCs w:val="21"/>
                <w:highlight w:val="none"/>
              </w:rPr>
              <w:t>分值</w:t>
            </w:r>
          </w:p>
        </w:tc>
        <w:tc>
          <w:tcPr>
            <w:tcW w:w="546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b/>
                <w:sz w:val="21"/>
                <w:szCs w:val="21"/>
                <w:highlight w:val="none"/>
              </w:rPr>
            </w:pPr>
            <w:r>
              <w:rPr>
                <w:rFonts w:hint="eastAsia" w:ascii="宋体" w:hAnsi="宋体" w:eastAsia="宋体" w:cs="宋体"/>
                <w:b/>
                <w:spacing w:val="-2"/>
                <w:sz w:val="21"/>
                <w:szCs w:val="21"/>
                <w:highlight w:val="none"/>
              </w:rPr>
              <w:t>评审细则</w:t>
            </w:r>
          </w:p>
        </w:tc>
        <w:tc>
          <w:tcPr>
            <w:tcW w:w="1892" w:type="dxa"/>
            <w:vAlign w:val="center"/>
          </w:tcPr>
          <w:p>
            <w:pPr>
              <w:pStyle w:val="15"/>
              <w:snapToGrid w:val="0"/>
              <w:spacing w:before="209" w:line="240" w:lineRule="auto"/>
              <w:ind w:left="0" w:leftChars="0" w:right="0" w:rightChars="0" w:firstLine="0" w:firstLineChars="0"/>
              <w:jc w:val="center"/>
              <w:rPr>
                <w:rFonts w:hint="eastAsia" w:ascii="宋体" w:hAnsi="宋体" w:eastAsia="宋体" w:cs="宋体"/>
                <w:b/>
                <w:sz w:val="21"/>
                <w:szCs w:val="21"/>
                <w:highlight w:val="none"/>
              </w:rPr>
            </w:pPr>
            <w:r>
              <w:rPr>
                <w:rFonts w:hint="eastAsia" w:ascii="宋体" w:hAnsi="宋体" w:eastAsia="宋体" w:cs="宋体"/>
                <w:b/>
                <w:spacing w:val="-2"/>
                <w:sz w:val="21"/>
                <w:szCs w:val="21"/>
                <w:highlight w:val="none"/>
              </w:rPr>
              <w:t>须提供的证</w:t>
            </w:r>
            <w:r>
              <w:rPr>
                <w:rFonts w:hint="eastAsia" w:ascii="宋体" w:hAnsi="宋体" w:eastAsia="宋体" w:cs="宋体"/>
                <w:b/>
                <w:spacing w:val="-6"/>
                <w:sz w:val="21"/>
                <w:szCs w:val="21"/>
                <w:highlight w:val="none"/>
              </w:rPr>
              <w:t>明材料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20" w:type="dxa"/>
            <w:vMerge w:val="restart"/>
            <w:tcBorders>
              <w:top w:val="nil"/>
            </w:tcBorders>
            <w:vAlign w:val="center"/>
          </w:tcPr>
          <w:p>
            <w:pPr>
              <w:pStyle w:val="15"/>
              <w:snapToGrid w:val="0"/>
              <w:spacing w:before="245"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810" w:type="dxa"/>
            <w:vMerge w:val="restart"/>
            <w:tcBorders>
              <w:top w:val="nil"/>
            </w:tcBorders>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方案设计</w:t>
            </w:r>
            <w:r>
              <w:rPr>
                <w:rFonts w:hint="eastAsia" w:ascii="宋体" w:hAnsi="宋体" w:eastAsia="宋体" w:cs="宋体"/>
                <w:spacing w:val="-8"/>
                <w:sz w:val="21"/>
                <w:szCs w:val="21"/>
                <w:highlight w:val="none"/>
              </w:rPr>
              <w:t>（</w:t>
            </w:r>
            <w:r>
              <w:rPr>
                <w:rFonts w:hint="eastAsia" w:ascii="宋体" w:hAnsi="宋体" w:eastAsia="宋体" w:cs="宋体"/>
                <w:spacing w:val="-33"/>
                <w:sz w:val="21"/>
                <w:szCs w:val="21"/>
                <w:highlight w:val="none"/>
                <w:lang w:val="en-US" w:eastAsia="zh-CN"/>
              </w:rPr>
              <w:t>50</w:t>
            </w:r>
            <w:r>
              <w:rPr>
                <w:rFonts w:hint="eastAsia" w:ascii="宋体" w:hAnsi="宋体" w:eastAsia="宋体" w:cs="宋体"/>
                <w:spacing w:val="-8"/>
                <w:sz w:val="21"/>
                <w:szCs w:val="21"/>
                <w:highlight w:val="none"/>
              </w:rPr>
              <w:t>分）</w:t>
            </w:r>
          </w:p>
        </w:tc>
        <w:tc>
          <w:tcPr>
            <w:tcW w:w="6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pacing w:val="-7"/>
                <w:sz w:val="21"/>
                <w:szCs w:val="21"/>
                <w:highlight w:val="none"/>
                <w:lang w:val="en-US" w:eastAsia="zh-CN"/>
              </w:rPr>
            </w:pPr>
            <w:r>
              <w:rPr>
                <w:rFonts w:hint="eastAsia" w:ascii="宋体" w:hAnsi="宋体" w:eastAsia="宋体" w:cs="宋体"/>
                <w:spacing w:val="-7"/>
                <w:sz w:val="21"/>
                <w:szCs w:val="21"/>
                <w:highlight w:val="none"/>
                <w:lang w:val="en-US" w:eastAsia="zh-CN"/>
              </w:rPr>
              <w:t>6</w:t>
            </w:r>
          </w:p>
        </w:tc>
        <w:tc>
          <w:tcPr>
            <w:tcW w:w="5460" w:type="dxa"/>
            <w:vAlign w:val="center"/>
          </w:tcPr>
          <w:p>
            <w:pPr>
              <w:pStyle w:val="15"/>
              <w:snapToGrid w:val="0"/>
              <w:spacing w:before="125" w:line="240" w:lineRule="auto"/>
              <w:ind w:left="0" w:leftChars="0" w:right="0" w:rightChars="0" w:firstLine="0" w:firstLineChars="0"/>
              <w:jc w:val="left"/>
              <w:rPr>
                <w:rFonts w:hint="eastAsia" w:ascii="宋体" w:hAnsi="宋体" w:eastAsia="宋体" w:cs="宋体"/>
                <w:spacing w:val="-4"/>
                <w:sz w:val="21"/>
                <w:szCs w:val="21"/>
                <w:highlight w:val="none"/>
              </w:rPr>
            </w:pPr>
            <w:r>
              <w:rPr>
                <w:rFonts w:hint="eastAsia" w:ascii="宋体" w:hAnsi="宋体" w:eastAsia="宋体" w:cs="宋体"/>
                <w:spacing w:val="3"/>
                <w:sz w:val="21"/>
                <w:szCs w:val="21"/>
                <w:highlight w:val="none"/>
              </w:rPr>
              <w:t>总体设计构思：</w:t>
            </w:r>
            <w:bookmarkStart w:id="13" w:name="OLE_LINK4"/>
            <w:r>
              <w:rPr>
                <w:rFonts w:hint="eastAsia" w:ascii="宋体" w:hAnsi="宋体" w:eastAsia="宋体" w:cs="宋体"/>
                <w:color w:val="000000"/>
                <w:kern w:val="0"/>
                <w:sz w:val="21"/>
                <w:szCs w:val="21"/>
                <w:highlight w:val="none"/>
                <w:lang w:bidi="ar"/>
              </w:rPr>
              <w:t>准确把握设计需求，紧扣展览的目标定位，对展示内容理解透彻，整体设计方案结构合理、逻辑清晰，设计理念新颖，兼顾各项功能，做到有机融合，体现展厅特色</w:t>
            </w:r>
            <w:r>
              <w:rPr>
                <w:rFonts w:hint="eastAsia" w:ascii="宋体" w:hAnsi="宋体" w:eastAsia="宋体" w:cs="宋体"/>
                <w:color w:val="000000"/>
                <w:kern w:val="0"/>
                <w:sz w:val="21"/>
                <w:szCs w:val="21"/>
                <w:highlight w:val="none"/>
                <w:lang w:val="en-US" w:eastAsia="zh-CN" w:bidi="ar"/>
              </w:rPr>
              <w:t>和地域文化</w:t>
            </w:r>
            <w:r>
              <w:rPr>
                <w:rFonts w:hint="eastAsia" w:ascii="宋体" w:hAnsi="宋体" w:eastAsia="宋体" w:cs="宋体"/>
                <w:color w:val="000000"/>
                <w:kern w:val="0"/>
                <w:sz w:val="21"/>
                <w:szCs w:val="21"/>
                <w:highlight w:val="none"/>
                <w:lang w:bidi="ar"/>
              </w:rPr>
              <w:t>。</w:t>
            </w:r>
            <w:bookmarkEnd w:id="13"/>
            <w:r>
              <w:rPr>
                <w:rFonts w:hint="eastAsia" w:ascii="宋体" w:hAnsi="宋体" w:eastAsia="宋体" w:cs="宋体"/>
                <w:sz w:val="21"/>
                <w:szCs w:val="21"/>
                <w:highlight w:val="none"/>
              </w:rPr>
              <w:t>根据</w:t>
            </w:r>
            <w:r>
              <w:rPr>
                <w:rFonts w:hint="eastAsia" w:ascii="宋体" w:hAnsi="宋体" w:eastAsia="宋体" w:cs="宋体"/>
                <w:spacing w:val="-4"/>
                <w:sz w:val="21"/>
                <w:szCs w:val="21"/>
                <w:highlight w:val="none"/>
              </w:rPr>
              <w:t>投标人差异酌情打分；</w:t>
            </w:r>
          </w:p>
          <w:p>
            <w:pPr>
              <w:pStyle w:val="15"/>
              <w:snapToGrid w:val="0"/>
              <w:spacing w:before="123" w:line="240" w:lineRule="auto"/>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优的得</w:t>
            </w:r>
            <w:r>
              <w:rPr>
                <w:rFonts w:hint="eastAsia" w:ascii="宋体" w:hAnsi="宋体" w:eastAsia="宋体" w:cs="宋体"/>
                <w:spacing w:val="-35"/>
                <w:sz w:val="21"/>
                <w:szCs w:val="21"/>
                <w:highlight w:val="none"/>
              </w:rPr>
              <w:t xml:space="preserve"> </w:t>
            </w:r>
            <w:r>
              <w:rPr>
                <w:rFonts w:hint="eastAsia" w:ascii="宋体" w:hAnsi="宋体" w:eastAsia="宋体" w:cs="宋体"/>
                <w:spacing w:val="-35"/>
                <w:sz w:val="21"/>
                <w:szCs w:val="21"/>
                <w:highlight w:val="none"/>
                <w:lang w:val="en-US" w:eastAsia="zh-CN"/>
              </w:rPr>
              <w:t>5-6</w:t>
            </w:r>
            <w:r>
              <w:rPr>
                <w:rFonts w:hint="eastAsia" w:ascii="宋体" w:hAnsi="宋体" w:eastAsia="宋体" w:cs="宋体"/>
                <w:b/>
                <w:bCs/>
                <w:spacing w:val="-4"/>
                <w:sz w:val="21"/>
                <w:szCs w:val="21"/>
                <w:highlight w:val="none"/>
              </w:rPr>
              <w:t>分，</w:t>
            </w:r>
            <w:r>
              <w:rPr>
                <w:rFonts w:hint="eastAsia" w:ascii="宋体" w:hAnsi="宋体" w:eastAsia="宋体" w:cs="宋体"/>
                <w:spacing w:val="-62"/>
                <w:sz w:val="21"/>
                <w:szCs w:val="21"/>
                <w:highlight w:val="none"/>
              </w:rPr>
              <w:t xml:space="preserve"> </w:t>
            </w:r>
            <w:r>
              <w:rPr>
                <w:rFonts w:hint="eastAsia" w:ascii="宋体" w:hAnsi="宋体" w:eastAsia="宋体" w:cs="宋体"/>
                <w:b/>
                <w:bCs/>
                <w:spacing w:val="-4"/>
                <w:sz w:val="21"/>
                <w:szCs w:val="21"/>
                <w:highlight w:val="none"/>
              </w:rPr>
              <w:t>良好的得</w:t>
            </w:r>
            <w:r>
              <w:rPr>
                <w:rFonts w:hint="eastAsia" w:ascii="宋体" w:hAnsi="宋体" w:eastAsia="宋体" w:cs="宋体"/>
                <w:spacing w:val="-36"/>
                <w:sz w:val="21"/>
                <w:szCs w:val="21"/>
                <w:highlight w:val="none"/>
              </w:rPr>
              <w:t xml:space="preserve"> </w:t>
            </w:r>
            <w:r>
              <w:rPr>
                <w:rFonts w:hint="eastAsia" w:ascii="宋体" w:hAnsi="宋体" w:eastAsia="宋体" w:cs="宋体"/>
                <w:spacing w:val="-36"/>
                <w:sz w:val="21"/>
                <w:szCs w:val="21"/>
                <w:highlight w:val="none"/>
                <w:lang w:val="en-US" w:eastAsia="zh-CN"/>
              </w:rPr>
              <w:t>3 -4</w:t>
            </w:r>
            <w:r>
              <w:rPr>
                <w:rFonts w:hint="eastAsia" w:ascii="宋体" w:hAnsi="宋体" w:eastAsia="宋体" w:cs="宋体"/>
                <w:b/>
                <w:bCs/>
                <w:spacing w:val="-4"/>
                <w:sz w:val="21"/>
                <w:szCs w:val="21"/>
                <w:highlight w:val="none"/>
              </w:rPr>
              <w:t>分，</w:t>
            </w:r>
            <w:r>
              <w:rPr>
                <w:rFonts w:hint="eastAsia" w:ascii="宋体" w:hAnsi="宋体" w:eastAsia="宋体" w:cs="宋体"/>
                <w:b/>
                <w:bCs/>
                <w:spacing w:val="-5"/>
                <w:sz w:val="21"/>
                <w:szCs w:val="21"/>
                <w:highlight w:val="none"/>
              </w:rPr>
              <w:t>差</w:t>
            </w:r>
            <w:r>
              <w:rPr>
                <w:rFonts w:hint="eastAsia" w:ascii="宋体" w:hAnsi="宋体" w:eastAsia="宋体" w:cs="宋体"/>
                <w:b/>
                <w:bCs/>
                <w:spacing w:val="-5"/>
                <w:sz w:val="21"/>
                <w:szCs w:val="21"/>
                <w:highlight w:val="none"/>
                <w:lang w:val="en-US" w:eastAsia="zh-CN"/>
              </w:rPr>
              <w:t>或不提供得</w:t>
            </w:r>
            <w:r>
              <w:rPr>
                <w:rFonts w:hint="eastAsia" w:ascii="宋体" w:hAnsi="宋体" w:eastAsia="宋体" w:cs="宋体"/>
                <w:spacing w:val="-35"/>
                <w:sz w:val="21"/>
                <w:szCs w:val="21"/>
                <w:highlight w:val="none"/>
              </w:rPr>
              <w:t xml:space="preserve"> </w:t>
            </w:r>
            <w:r>
              <w:rPr>
                <w:rFonts w:hint="eastAsia" w:cs="宋体"/>
                <w:b/>
                <w:bCs/>
                <w:spacing w:val="-5"/>
                <w:sz w:val="21"/>
                <w:szCs w:val="21"/>
                <w:highlight w:val="none"/>
                <w:lang w:val="en-US" w:eastAsia="zh-CN"/>
              </w:rPr>
              <w:t>2</w:t>
            </w:r>
            <w:r>
              <w:rPr>
                <w:rFonts w:hint="eastAsia" w:ascii="宋体" w:hAnsi="宋体" w:eastAsia="宋体" w:cs="宋体"/>
                <w:b/>
                <w:bCs/>
                <w:spacing w:val="-9"/>
                <w:sz w:val="21"/>
                <w:szCs w:val="21"/>
                <w:highlight w:val="none"/>
              </w:rPr>
              <w:t>分。</w:t>
            </w:r>
          </w:p>
        </w:tc>
        <w:tc>
          <w:tcPr>
            <w:tcW w:w="1892" w:type="dxa"/>
            <w:vMerge w:val="restart"/>
            <w:tcBorders>
              <w:top w:val="nil"/>
            </w:tcBorders>
            <w:vAlign w:val="center"/>
          </w:tcPr>
          <w:p>
            <w:pPr>
              <w:snapToGrid w:val="0"/>
              <w:spacing w:line="24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pacing w:val="32"/>
                <w:sz w:val="21"/>
                <w:szCs w:val="21"/>
                <w:highlight w:val="none"/>
              </w:rPr>
              <w:t>证明材料</w:t>
            </w:r>
            <w:r>
              <w:rPr>
                <w:rFonts w:hint="eastAsia" w:ascii="宋体" w:hAnsi="宋体" w:eastAsia="宋体" w:cs="宋体"/>
                <w:spacing w:val="-11"/>
                <w:sz w:val="21"/>
                <w:szCs w:val="21"/>
                <w:highlight w:val="none"/>
              </w:rPr>
              <w:t>扫描上传，</w:t>
            </w:r>
            <w:r>
              <w:rPr>
                <w:rFonts w:hint="eastAsia" w:ascii="宋体" w:hAnsi="宋体" w:eastAsia="宋体" w:cs="宋体"/>
                <w:spacing w:val="32"/>
                <w:sz w:val="21"/>
                <w:szCs w:val="21"/>
                <w:highlight w:val="none"/>
              </w:rPr>
              <w:t>检验电子</w:t>
            </w:r>
            <w:r>
              <w:rPr>
                <w:rFonts w:hint="eastAsia" w:ascii="宋体" w:hAnsi="宋体" w:eastAsia="宋体" w:cs="宋体"/>
                <w:spacing w:val="-2"/>
                <w:sz w:val="21"/>
                <w:szCs w:val="21"/>
                <w:highlight w:val="none"/>
              </w:rPr>
              <w:t>标书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20" w:type="dxa"/>
            <w:vMerge w:val="continue"/>
            <w:vAlign w:val="center"/>
          </w:tcPr>
          <w:p>
            <w:pPr>
              <w:pStyle w:val="15"/>
              <w:snapToGrid w:val="0"/>
              <w:spacing w:before="245" w:line="240" w:lineRule="auto"/>
              <w:ind w:left="0" w:leftChars="0" w:right="0" w:rightChars="0" w:firstLine="0" w:firstLineChars="0"/>
              <w:jc w:val="center"/>
              <w:rPr>
                <w:rFonts w:hint="eastAsia" w:ascii="宋体" w:hAnsi="宋体" w:eastAsia="宋体" w:cs="宋体"/>
                <w:sz w:val="21"/>
                <w:szCs w:val="21"/>
                <w:highlight w:val="none"/>
              </w:rPr>
            </w:pPr>
          </w:p>
        </w:tc>
        <w:tc>
          <w:tcPr>
            <w:tcW w:w="810" w:type="dxa"/>
            <w:vMerge w:val="continue"/>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rPr>
            </w:pPr>
          </w:p>
        </w:tc>
        <w:tc>
          <w:tcPr>
            <w:tcW w:w="6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6</w:t>
            </w:r>
          </w:p>
        </w:tc>
        <w:tc>
          <w:tcPr>
            <w:tcW w:w="5460" w:type="dxa"/>
            <w:vAlign w:val="center"/>
          </w:tcPr>
          <w:p>
            <w:pPr>
              <w:pStyle w:val="15"/>
              <w:snapToGrid w:val="0"/>
              <w:spacing w:before="125" w:line="240" w:lineRule="auto"/>
              <w:ind w:left="0" w:leftChars="0" w:right="0" w:rightChars="0" w:firstLine="0" w:firstLineChars="0"/>
              <w:jc w:val="left"/>
              <w:rPr>
                <w:rFonts w:hint="eastAsia" w:ascii="宋体" w:hAnsi="宋体" w:eastAsia="宋体" w:cs="宋体"/>
                <w:spacing w:val="-4"/>
                <w:sz w:val="21"/>
                <w:szCs w:val="21"/>
                <w:highlight w:val="none"/>
              </w:rPr>
            </w:pPr>
            <w:r>
              <w:rPr>
                <w:rFonts w:hint="eastAsia" w:ascii="宋体" w:hAnsi="宋体" w:eastAsia="宋体" w:cs="宋体"/>
                <w:sz w:val="21"/>
                <w:szCs w:val="21"/>
                <w:highlight w:val="none"/>
              </w:rPr>
              <w:t>策划主题：主题明确，</w:t>
            </w:r>
            <w:r>
              <w:rPr>
                <w:rFonts w:hint="eastAsia" w:ascii="宋体" w:hAnsi="宋体" w:eastAsia="宋体" w:cs="宋体"/>
                <w:color w:val="000000"/>
                <w:kern w:val="0"/>
                <w:sz w:val="21"/>
                <w:szCs w:val="21"/>
                <w:highlight w:val="none"/>
                <w:lang w:bidi="ar"/>
              </w:rPr>
              <w:t>围绕</w:t>
            </w:r>
            <w:r>
              <w:rPr>
                <w:rFonts w:hint="eastAsia" w:ascii="宋体" w:hAnsi="宋体" w:eastAsia="宋体" w:cs="宋体"/>
                <w:color w:val="000000"/>
                <w:kern w:val="0"/>
                <w:sz w:val="21"/>
                <w:szCs w:val="21"/>
                <w:highlight w:val="none"/>
                <w:lang w:val="en-US" w:eastAsia="zh-CN" w:bidi="ar"/>
              </w:rPr>
              <w:t>***院史</w:t>
            </w:r>
            <w:r>
              <w:rPr>
                <w:rFonts w:hint="eastAsia" w:ascii="宋体" w:hAnsi="宋体" w:eastAsia="宋体" w:cs="宋体"/>
                <w:color w:val="000000"/>
                <w:kern w:val="0"/>
                <w:sz w:val="21"/>
                <w:szCs w:val="21"/>
                <w:highlight w:val="none"/>
                <w:lang w:bidi="ar"/>
              </w:rPr>
              <w:t>医改展示馆的具体内容编撰展陈策划大纲文本，需深入研究挖掘展示内容，对展陈大纲和展览内容进行深化设计，</w:t>
            </w:r>
            <w:r>
              <w:rPr>
                <w:rFonts w:hint="eastAsia" w:ascii="宋体" w:hAnsi="宋体" w:eastAsia="宋体" w:cs="宋体"/>
                <w:sz w:val="21"/>
                <w:szCs w:val="21"/>
                <w:highlight w:val="none"/>
              </w:rPr>
              <w:t>根据</w:t>
            </w:r>
            <w:r>
              <w:rPr>
                <w:rFonts w:hint="eastAsia" w:ascii="宋体" w:hAnsi="宋体" w:eastAsia="宋体" w:cs="宋体"/>
                <w:spacing w:val="-4"/>
                <w:sz w:val="21"/>
                <w:szCs w:val="21"/>
                <w:highlight w:val="none"/>
              </w:rPr>
              <w:t>投标人差异酌情打分；</w:t>
            </w:r>
          </w:p>
          <w:p>
            <w:pPr>
              <w:pStyle w:val="15"/>
              <w:snapToGrid w:val="0"/>
              <w:spacing w:before="125" w:line="240" w:lineRule="auto"/>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优的得</w:t>
            </w:r>
            <w:r>
              <w:rPr>
                <w:rFonts w:hint="eastAsia" w:ascii="宋体" w:hAnsi="宋体" w:eastAsia="宋体" w:cs="宋体"/>
                <w:spacing w:val="-35"/>
                <w:sz w:val="21"/>
                <w:szCs w:val="21"/>
                <w:highlight w:val="none"/>
              </w:rPr>
              <w:t xml:space="preserve"> </w:t>
            </w:r>
            <w:r>
              <w:rPr>
                <w:rFonts w:hint="eastAsia" w:ascii="宋体" w:hAnsi="宋体" w:eastAsia="宋体" w:cs="宋体"/>
                <w:spacing w:val="-35"/>
                <w:sz w:val="21"/>
                <w:szCs w:val="21"/>
                <w:highlight w:val="none"/>
                <w:lang w:val="en-US" w:eastAsia="zh-CN"/>
              </w:rPr>
              <w:t>5-6</w:t>
            </w:r>
            <w:r>
              <w:rPr>
                <w:rFonts w:hint="eastAsia" w:ascii="宋体" w:hAnsi="宋体" w:eastAsia="宋体" w:cs="宋体"/>
                <w:spacing w:val="-34"/>
                <w:sz w:val="21"/>
                <w:szCs w:val="21"/>
                <w:highlight w:val="none"/>
              </w:rPr>
              <w:t xml:space="preserve"> </w:t>
            </w:r>
            <w:r>
              <w:rPr>
                <w:rFonts w:hint="eastAsia" w:ascii="宋体" w:hAnsi="宋体" w:eastAsia="宋体" w:cs="宋体"/>
                <w:b/>
                <w:bCs/>
                <w:spacing w:val="-4"/>
                <w:sz w:val="21"/>
                <w:szCs w:val="21"/>
                <w:highlight w:val="none"/>
              </w:rPr>
              <w:t>分，</w:t>
            </w:r>
            <w:r>
              <w:rPr>
                <w:rFonts w:hint="eastAsia" w:ascii="宋体" w:hAnsi="宋体" w:eastAsia="宋体" w:cs="宋体"/>
                <w:spacing w:val="-62"/>
                <w:sz w:val="21"/>
                <w:szCs w:val="21"/>
                <w:highlight w:val="none"/>
              </w:rPr>
              <w:t xml:space="preserve"> </w:t>
            </w:r>
            <w:r>
              <w:rPr>
                <w:rFonts w:hint="eastAsia" w:ascii="宋体" w:hAnsi="宋体" w:eastAsia="宋体" w:cs="宋体"/>
                <w:b/>
                <w:bCs/>
                <w:spacing w:val="-4"/>
                <w:sz w:val="21"/>
                <w:szCs w:val="21"/>
                <w:highlight w:val="none"/>
              </w:rPr>
              <w:t>良好的得</w:t>
            </w:r>
            <w:r>
              <w:rPr>
                <w:rFonts w:hint="eastAsia" w:ascii="宋体" w:hAnsi="宋体" w:eastAsia="宋体" w:cs="宋体"/>
                <w:b/>
                <w:bCs/>
                <w:spacing w:val="-4"/>
                <w:sz w:val="21"/>
                <w:szCs w:val="21"/>
                <w:highlight w:val="none"/>
                <w:lang w:val="en-US" w:eastAsia="zh-CN"/>
              </w:rPr>
              <w:t>3</w:t>
            </w:r>
            <w:r>
              <w:rPr>
                <w:rFonts w:hint="eastAsia" w:ascii="宋体" w:hAnsi="宋体" w:eastAsia="宋体" w:cs="宋体"/>
                <w:spacing w:val="-35"/>
                <w:sz w:val="21"/>
                <w:szCs w:val="21"/>
                <w:highlight w:val="none"/>
              </w:rPr>
              <w:t xml:space="preserve"> </w:t>
            </w:r>
            <w:r>
              <w:rPr>
                <w:rFonts w:hint="eastAsia" w:ascii="宋体" w:hAnsi="宋体" w:eastAsia="宋体" w:cs="宋体"/>
                <w:spacing w:val="-35"/>
                <w:sz w:val="21"/>
                <w:szCs w:val="21"/>
                <w:highlight w:val="none"/>
                <w:lang w:val="en-US" w:eastAsia="zh-CN"/>
              </w:rPr>
              <w:t>-4</w:t>
            </w:r>
            <w:r>
              <w:rPr>
                <w:rFonts w:hint="eastAsia" w:ascii="宋体" w:hAnsi="宋体" w:eastAsia="宋体" w:cs="宋体"/>
                <w:b/>
                <w:bCs/>
                <w:spacing w:val="-4"/>
                <w:sz w:val="21"/>
                <w:szCs w:val="21"/>
                <w:highlight w:val="none"/>
              </w:rPr>
              <w:t>分，</w:t>
            </w:r>
            <w:r>
              <w:rPr>
                <w:rFonts w:hint="eastAsia" w:ascii="宋体" w:hAnsi="宋体" w:eastAsia="宋体" w:cs="宋体"/>
                <w:b/>
                <w:bCs/>
                <w:spacing w:val="-5"/>
                <w:sz w:val="21"/>
                <w:szCs w:val="21"/>
                <w:highlight w:val="none"/>
              </w:rPr>
              <w:t>差</w:t>
            </w:r>
            <w:r>
              <w:rPr>
                <w:rFonts w:hint="eastAsia" w:ascii="宋体" w:hAnsi="宋体" w:eastAsia="宋体" w:cs="宋体"/>
                <w:b/>
                <w:bCs/>
                <w:spacing w:val="-5"/>
                <w:sz w:val="21"/>
                <w:szCs w:val="21"/>
                <w:highlight w:val="none"/>
                <w:lang w:val="en-US" w:eastAsia="zh-CN"/>
              </w:rPr>
              <w:t>或不提供得</w:t>
            </w:r>
            <w:r>
              <w:rPr>
                <w:rFonts w:hint="eastAsia" w:cs="宋体"/>
                <w:spacing w:val="-35"/>
                <w:sz w:val="21"/>
                <w:szCs w:val="21"/>
                <w:highlight w:val="none"/>
                <w:lang w:val="en-US" w:eastAsia="zh-CN"/>
              </w:rPr>
              <w:t>2</w:t>
            </w:r>
            <w:r>
              <w:rPr>
                <w:rFonts w:hint="eastAsia" w:ascii="宋体" w:hAnsi="宋体" w:eastAsia="宋体" w:cs="宋体"/>
                <w:b/>
                <w:bCs/>
                <w:spacing w:val="-9"/>
                <w:sz w:val="21"/>
                <w:szCs w:val="21"/>
                <w:highlight w:val="none"/>
              </w:rPr>
              <w:t>分。</w:t>
            </w:r>
          </w:p>
        </w:tc>
        <w:tc>
          <w:tcPr>
            <w:tcW w:w="1892" w:type="dxa"/>
            <w:vMerge w:val="continue"/>
            <w:tcBorders>
              <w:top w:val="nil"/>
              <w:bottom w:val="nil"/>
            </w:tcBorders>
            <w:vAlign w:val="center"/>
          </w:tcPr>
          <w:p>
            <w:pPr>
              <w:snapToGrid w:val="0"/>
              <w:spacing w:line="240" w:lineRule="auto"/>
              <w:ind w:left="0" w:leftChars="0" w:right="0" w:rightChars="0" w:firstLine="0" w:firstLineChars="0"/>
              <w:jc w:val="center"/>
              <w:rPr>
                <w:rFonts w:hint="eastAsia" w:ascii="宋体" w:hAnsi="宋体" w:eastAsia="宋体" w:cs="宋体"/>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20" w:type="dxa"/>
            <w:vMerge w:val="continue"/>
            <w:vAlign w:val="center"/>
          </w:tcPr>
          <w:p>
            <w:pPr>
              <w:pStyle w:val="15"/>
              <w:snapToGrid w:val="0"/>
              <w:spacing w:before="245" w:line="240" w:lineRule="auto"/>
              <w:ind w:left="0" w:leftChars="0" w:right="0" w:rightChars="0" w:firstLine="0" w:firstLineChars="0"/>
              <w:jc w:val="center"/>
              <w:rPr>
                <w:rFonts w:hint="eastAsia" w:ascii="宋体" w:hAnsi="宋体" w:eastAsia="宋体" w:cs="宋体"/>
                <w:sz w:val="21"/>
                <w:szCs w:val="21"/>
                <w:highlight w:val="none"/>
              </w:rPr>
            </w:pPr>
          </w:p>
        </w:tc>
        <w:tc>
          <w:tcPr>
            <w:tcW w:w="810" w:type="dxa"/>
            <w:vMerge w:val="continue"/>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rPr>
            </w:pPr>
          </w:p>
        </w:tc>
        <w:tc>
          <w:tcPr>
            <w:tcW w:w="6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8</w:t>
            </w:r>
          </w:p>
        </w:tc>
        <w:tc>
          <w:tcPr>
            <w:tcW w:w="5460" w:type="dxa"/>
            <w:vAlign w:val="center"/>
          </w:tcPr>
          <w:p>
            <w:pPr>
              <w:pStyle w:val="15"/>
              <w:snapToGrid w:val="0"/>
              <w:spacing w:before="125" w:line="240" w:lineRule="auto"/>
              <w:ind w:left="0" w:leftChars="0" w:right="0" w:rightChars="0" w:firstLine="0" w:firstLineChars="0"/>
              <w:jc w:val="left"/>
              <w:rPr>
                <w:rFonts w:hint="eastAsia" w:ascii="宋体" w:hAnsi="宋体" w:eastAsia="宋体" w:cs="宋体"/>
                <w:spacing w:val="-4"/>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展示线索及大纲：</w:t>
            </w:r>
            <w:r>
              <w:rPr>
                <w:rFonts w:hint="eastAsia" w:ascii="宋体" w:hAnsi="宋体" w:eastAsia="宋体" w:cs="宋体"/>
                <w:spacing w:val="-4"/>
                <w:sz w:val="21"/>
                <w:szCs w:val="21"/>
                <w:highlight w:val="none"/>
                <w:lang w:val="en-US" w:eastAsia="zh-CN"/>
              </w:rPr>
              <w:t>展示线索、板块分布清晰合理；布展大纲符合医院建设和要求 ，院史和医改相关内容展示充分，笔墨分配合理，</w:t>
            </w:r>
            <w:r>
              <w:rPr>
                <w:rFonts w:hint="eastAsia" w:ascii="宋体" w:hAnsi="宋体" w:eastAsia="宋体" w:cs="宋体"/>
                <w:color w:val="000000"/>
                <w:kern w:val="0"/>
                <w:sz w:val="21"/>
                <w:szCs w:val="21"/>
                <w:highlight w:val="none"/>
                <w:lang w:bidi="ar"/>
              </w:rPr>
              <w:t>做到图文内容全面、准确、完整，展示资料详实，具有系统性</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sz w:val="21"/>
                <w:szCs w:val="21"/>
                <w:highlight w:val="none"/>
                <w:lang w:val="en-US" w:eastAsia="zh-CN"/>
              </w:rPr>
              <w:t>逻辑</w:t>
            </w:r>
            <w:r>
              <w:rPr>
                <w:rFonts w:hint="eastAsia" w:ascii="宋体" w:hAnsi="宋体" w:eastAsia="宋体" w:cs="宋体"/>
                <w:sz w:val="21"/>
                <w:szCs w:val="21"/>
                <w:highlight w:val="none"/>
              </w:rPr>
              <w:t>性。根据</w:t>
            </w:r>
            <w:r>
              <w:rPr>
                <w:rFonts w:hint="eastAsia" w:ascii="宋体" w:hAnsi="宋体" w:eastAsia="宋体" w:cs="宋体"/>
                <w:spacing w:val="-4"/>
                <w:sz w:val="21"/>
                <w:szCs w:val="21"/>
                <w:highlight w:val="none"/>
              </w:rPr>
              <w:t>投标人差异酌情打分；</w:t>
            </w:r>
          </w:p>
          <w:p>
            <w:pPr>
              <w:pStyle w:val="15"/>
              <w:snapToGrid w:val="0"/>
              <w:spacing w:before="125" w:line="240" w:lineRule="auto"/>
              <w:ind w:left="0" w:leftChars="0" w:right="0" w:rightChars="0" w:firstLine="0" w:firstLineChars="0"/>
              <w:jc w:val="left"/>
              <w:rPr>
                <w:rFonts w:hint="eastAsia" w:ascii="宋体" w:hAnsi="宋体" w:eastAsia="宋体" w:cs="宋体"/>
                <w:b/>
                <w:bCs/>
                <w:spacing w:val="-6"/>
                <w:sz w:val="21"/>
                <w:szCs w:val="21"/>
                <w:highlight w:val="none"/>
                <w:lang w:val="en-US" w:eastAsia="zh-CN"/>
              </w:rPr>
            </w:pPr>
            <w:r>
              <w:rPr>
                <w:rFonts w:hint="eastAsia" w:ascii="宋体" w:hAnsi="宋体" w:eastAsia="宋体" w:cs="宋体"/>
                <w:b/>
                <w:bCs/>
                <w:spacing w:val="-4"/>
                <w:sz w:val="21"/>
                <w:szCs w:val="21"/>
                <w:highlight w:val="none"/>
              </w:rPr>
              <w:t>优的得</w:t>
            </w:r>
            <w:r>
              <w:rPr>
                <w:rFonts w:hint="eastAsia" w:ascii="宋体" w:hAnsi="宋体" w:eastAsia="宋体" w:cs="宋体"/>
                <w:spacing w:val="-35"/>
                <w:sz w:val="21"/>
                <w:szCs w:val="21"/>
                <w:highlight w:val="none"/>
                <w:lang w:val="en-US" w:eastAsia="zh-CN"/>
              </w:rPr>
              <w:t>6-8</w:t>
            </w:r>
            <w:r>
              <w:rPr>
                <w:rFonts w:hint="eastAsia" w:ascii="宋体" w:hAnsi="宋体" w:eastAsia="宋体" w:cs="宋体"/>
                <w:b/>
                <w:bCs/>
                <w:spacing w:val="-4"/>
                <w:sz w:val="21"/>
                <w:szCs w:val="21"/>
                <w:highlight w:val="none"/>
              </w:rPr>
              <w:t>分，</w:t>
            </w:r>
            <w:r>
              <w:rPr>
                <w:rFonts w:hint="eastAsia" w:ascii="宋体" w:hAnsi="宋体" w:eastAsia="宋体" w:cs="宋体"/>
                <w:spacing w:val="-62"/>
                <w:sz w:val="21"/>
                <w:szCs w:val="21"/>
                <w:highlight w:val="none"/>
              </w:rPr>
              <w:t xml:space="preserve"> </w:t>
            </w:r>
            <w:r>
              <w:rPr>
                <w:rFonts w:hint="eastAsia" w:ascii="宋体" w:hAnsi="宋体" w:eastAsia="宋体" w:cs="宋体"/>
                <w:b/>
                <w:bCs/>
                <w:spacing w:val="-4"/>
                <w:sz w:val="21"/>
                <w:szCs w:val="21"/>
                <w:highlight w:val="none"/>
              </w:rPr>
              <w:t>良好的得</w:t>
            </w:r>
            <w:r>
              <w:rPr>
                <w:rFonts w:hint="eastAsia" w:ascii="宋体" w:hAnsi="宋体" w:eastAsia="宋体" w:cs="宋体"/>
                <w:spacing w:val="-36"/>
                <w:sz w:val="21"/>
                <w:szCs w:val="21"/>
                <w:highlight w:val="none"/>
                <w:lang w:val="en-US" w:eastAsia="zh-CN"/>
              </w:rPr>
              <w:t>3-5</w:t>
            </w:r>
            <w:r>
              <w:rPr>
                <w:rFonts w:hint="eastAsia" w:ascii="宋体" w:hAnsi="宋体" w:eastAsia="宋体" w:cs="宋体"/>
                <w:b/>
                <w:bCs/>
                <w:spacing w:val="-4"/>
                <w:sz w:val="21"/>
                <w:szCs w:val="21"/>
                <w:highlight w:val="none"/>
              </w:rPr>
              <w:t>分，</w:t>
            </w:r>
            <w:r>
              <w:rPr>
                <w:rFonts w:hint="eastAsia" w:ascii="宋体" w:hAnsi="宋体" w:eastAsia="宋体" w:cs="宋体"/>
                <w:b/>
                <w:bCs/>
                <w:spacing w:val="-5"/>
                <w:sz w:val="21"/>
                <w:szCs w:val="21"/>
                <w:highlight w:val="none"/>
              </w:rPr>
              <w:t>差</w:t>
            </w:r>
            <w:r>
              <w:rPr>
                <w:rFonts w:hint="eastAsia" w:ascii="宋体" w:hAnsi="宋体" w:eastAsia="宋体" w:cs="宋体"/>
                <w:b/>
                <w:bCs/>
                <w:spacing w:val="-5"/>
                <w:sz w:val="21"/>
                <w:szCs w:val="21"/>
                <w:highlight w:val="none"/>
                <w:lang w:val="en-US" w:eastAsia="zh-CN"/>
              </w:rPr>
              <w:t>或不提供得</w:t>
            </w:r>
            <w:r>
              <w:rPr>
                <w:rFonts w:hint="eastAsia" w:ascii="宋体" w:hAnsi="宋体" w:eastAsia="宋体" w:cs="宋体"/>
                <w:spacing w:val="-35"/>
                <w:sz w:val="21"/>
                <w:szCs w:val="21"/>
                <w:highlight w:val="none"/>
              </w:rPr>
              <w:t xml:space="preserve"> </w:t>
            </w:r>
            <w:r>
              <w:rPr>
                <w:rFonts w:hint="eastAsia" w:cs="宋体"/>
                <w:b/>
                <w:bCs/>
                <w:spacing w:val="-5"/>
                <w:sz w:val="21"/>
                <w:szCs w:val="21"/>
                <w:highlight w:val="none"/>
                <w:lang w:val="en-US" w:eastAsia="zh-CN"/>
              </w:rPr>
              <w:t>2</w:t>
            </w:r>
            <w:r>
              <w:rPr>
                <w:rFonts w:hint="eastAsia" w:ascii="宋体" w:hAnsi="宋体" w:eastAsia="宋体" w:cs="宋体"/>
                <w:b/>
                <w:bCs/>
                <w:spacing w:val="-9"/>
                <w:sz w:val="21"/>
                <w:szCs w:val="21"/>
                <w:highlight w:val="none"/>
              </w:rPr>
              <w:t>分。</w:t>
            </w:r>
          </w:p>
        </w:tc>
        <w:tc>
          <w:tcPr>
            <w:tcW w:w="1892" w:type="dxa"/>
            <w:vMerge w:val="continue"/>
            <w:tcBorders>
              <w:top w:val="nil"/>
              <w:bottom w:val="nil"/>
            </w:tcBorders>
            <w:vAlign w:val="center"/>
          </w:tcPr>
          <w:p>
            <w:pPr>
              <w:snapToGrid w:val="0"/>
              <w:spacing w:line="240" w:lineRule="auto"/>
              <w:ind w:left="0" w:leftChars="0" w:right="0" w:rightChars="0" w:firstLine="0" w:firstLineChars="0"/>
              <w:jc w:val="center"/>
              <w:rPr>
                <w:rFonts w:hint="eastAsia" w:ascii="宋体" w:hAnsi="宋体" w:eastAsia="宋体" w:cs="宋体"/>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20" w:type="dxa"/>
            <w:vMerge w:val="continue"/>
            <w:vAlign w:val="center"/>
          </w:tcPr>
          <w:p>
            <w:pPr>
              <w:pStyle w:val="15"/>
              <w:snapToGrid w:val="0"/>
              <w:spacing w:before="245" w:line="240" w:lineRule="auto"/>
              <w:ind w:left="0" w:leftChars="0" w:right="0" w:rightChars="0" w:firstLine="0" w:firstLineChars="0"/>
              <w:jc w:val="center"/>
              <w:rPr>
                <w:rFonts w:hint="eastAsia" w:ascii="宋体" w:hAnsi="宋体" w:eastAsia="宋体" w:cs="宋体"/>
                <w:sz w:val="21"/>
                <w:szCs w:val="21"/>
                <w:highlight w:val="none"/>
              </w:rPr>
            </w:pPr>
          </w:p>
        </w:tc>
        <w:tc>
          <w:tcPr>
            <w:tcW w:w="810" w:type="dxa"/>
            <w:vMerge w:val="continue"/>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rPr>
            </w:pPr>
          </w:p>
        </w:tc>
        <w:tc>
          <w:tcPr>
            <w:tcW w:w="6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5460" w:type="dxa"/>
            <w:vAlign w:val="center"/>
          </w:tcPr>
          <w:p>
            <w:pPr>
              <w:widowControl/>
              <w:jc w:val="left"/>
              <w:rPr>
                <w:rFonts w:hint="eastAsia" w:ascii="宋体" w:hAnsi="宋体" w:eastAsia="宋体" w:cs="宋体"/>
                <w:spacing w:val="-6"/>
                <w:sz w:val="21"/>
                <w:szCs w:val="21"/>
                <w:highlight w:val="none"/>
              </w:rPr>
            </w:pPr>
            <w:r>
              <w:rPr>
                <w:rFonts w:hint="eastAsia" w:ascii="宋体" w:hAnsi="宋体" w:eastAsia="宋体" w:cs="宋体"/>
                <w:sz w:val="21"/>
                <w:szCs w:val="21"/>
                <w:highlight w:val="none"/>
              </w:rPr>
              <w:t>空间布局合理性：</w:t>
            </w:r>
            <w:r>
              <w:rPr>
                <w:rFonts w:hint="eastAsia" w:ascii="宋体" w:hAnsi="宋体" w:eastAsia="宋体" w:cs="宋体"/>
                <w:color w:val="000000"/>
                <w:kern w:val="0"/>
                <w:sz w:val="21"/>
                <w:szCs w:val="21"/>
                <w:highlight w:val="none"/>
                <w:lang w:bidi="ar"/>
              </w:rPr>
              <w:t>契合建筑本身实际情况，原创设计，设计方案展现形式完整富于变化，色彩搭配和谐统一。</w:t>
            </w:r>
            <w:r>
              <w:rPr>
                <w:rFonts w:hint="eastAsia" w:ascii="宋体" w:hAnsi="宋体" w:eastAsia="宋体" w:cs="宋体"/>
                <w:sz w:val="21"/>
                <w:szCs w:val="21"/>
                <w:highlight w:val="none"/>
                <w:lang w:val="en-US" w:eastAsia="zh-CN"/>
              </w:rPr>
              <w:t>空间布局科学合理</w:t>
            </w:r>
            <w:r>
              <w:rPr>
                <w:rFonts w:hint="eastAsia" w:ascii="宋体" w:hAnsi="宋体" w:eastAsia="宋体" w:cs="宋体"/>
                <w:sz w:val="21"/>
                <w:szCs w:val="21"/>
                <w:highlight w:val="none"/>
              </w:rPr>
              <w:t>，展览流线自然顺畅，主次分明</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动静结合</w:t>
            </w:r>
            <w:r>
              <w:rPr>
                <w:rFonts w:hint="eastAsia" w:ascii="宋体" w:hAnsi="宋体" w:cs="宋体"/>
                <w:color w:val="000000"/>
                <w:kern w:val="0"/>
                <w:sz w:val="24"/>
                <w:highlight w:val="none"/>
                <w:lang w:bidi="ar"/>
              </w:rPr>
              <w:t>，</w:t>
            </w:r>
            <w:r>
              <w:rPr>
                <w:rFonts w:hint="eastAsia" w:ascii="宋体" w:hAnsi="宋体" w:eastAsia="宋体" w:cs="宋体"/>
                <w:color w:val="000000"/>
                <w:kern w:val="0"/>
                <w:sz w:val="21"/>
                <w:szCs w:val="21"/>
                <w:highlight w:val="none"/>
                <w:lang w:bidi="ar"/>
              </w:rPr>
              <w:t>切实可行。</w:t>
            </w:r>
            <w:r>
              <w:rPr>
                <w:rFonts w:hint="eastAsia" w:ascii="宋体" w:hAnsi="宋体" w:eastAsia="宋体" w:cs="宋体"/>
                <w:sz w:val="21"/>
                <w:szCs w:val="21"/>
                <w:highlight w:val="none"/>
              </w:rPr>
              <w:t>根据投标人差异酌</w:t>
            </w:r>
            <w:r>
              <w:rPr>
                <w:rFonts w:hint="eastAsia" w:ascii="宋体" w:hAnsi="宋体" w:eastAsia="宋体" w:cs="宋体"/>
                <w:spacing w:val="-6"/>
                <w:sz w:val="21"/>
                <w:szCs w:val="21"/>
                <w:highlight w:val="none"/>
              </w:rPr>
              <w:t>情打分；</w:t>
            </w:r>
          </w:p>
          <w:p>
            <w:pPr>
              <w:pStyle w:val="15"/>
              <w:snapToGrid w:val="0"/>
              <w:spacing w:before="125" w:line="240" w:lineRule="auto"/>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优的得</w:t>
            </w:r>
            <w:r>
              <w:rPr>
                <w:rFonts w:hint="eastAsia" w:ascii="宋体" w:hAnsi="宋体" w:eastAsia="宋体" w:cs="宋体"/>
                <w:spacing w:val="-35"/>
                <w:sz w:val="21"/>
                <w:szCs w:val="21"/>
                <w:highlight w:val="none"/>
              </w:rPr>
              <w:t xml:space="preserve"> </w:t>
            </w:r>
            <w:r>
              <w:rPr>
                <w:rFonts w:hint="eastAsia" w:ascii="宋体" w:hAnsi="宋体" w:eastAsia="宋体" w:cs="宋体"/>
                <w:spacing w:val="-35"/>
                <w:sz w:val="21"/>
                <w:szCs w:val="21"/>
                <w:highlight w:val="none"/>
                <w:lang w:val="en-US" w:eastAsia="zh-CN"/>
              </w:rPr>
              <w:t>7-10</w:t>
            </w:r>
            <w:r>
              <w:rPr>
                <w:rFonts w:hint="eastAsia" w:ascii="宋体" w:hAnsi="宋体" w:eastAsia="宋体" w:cs="宋体"/>
                <w:b/>
                <w:bCs/>
                <w:spacing w:val="-6"/>
                <w:sz w:val="21"/>
                <w:szCs w:val="21"/>
                <w:highlight w:val="none"/>
              </w:rPr>
              <w:t>分，</w:t>
            </w:r>
            <w:r>
              <w:rPr>
                <w:rFonts w:hint="eastAsia" w:ascii="宋体" w:hAnsi="宋体" w:eastAsia="宋体" w:cs="宋体"/>
                <w:spacing w:val="-62"/>
                <w:sz w:val="21"/>
                <w:szCs w:val="21"/>
                <w:highlight w:val="none"/>
              </w:rPr>
              <w:t xml:space="preserve"> </w:t>
            </w:r>
            <w:r>
              <w:rPr>
                <w:rFonts w:hint="eastAsia" w:ascii="宋体" w:hAnsi="宋体" w:eastAsia="宋体" w:cs="宋体"/>
                <w:b/>
                <w:bCs/>
                <w:spacing w:val="-6"/>
                <w:sz w:val="21"/>
                <w:szCs w:val="21"/>
                <w:highlight w:val="none"/>
              </w:rPr>
              <w:t>良好的得</w:t>
            </w:r>
            <w:r>
              <w:rPr>
                <w:rFonts w:hint="eastAsia" w:ascii="宋体" w:hAnsi="宋体" w:eastAsia="宋体" w:cs="宋体"/>
                <w:spacing w:val="-37"/>
                <w:sz w:val="21"/>
                <w:szCs w:val="21"/>
                <w:highlight w:val="none"/>
              </w:rPr>
              <w:t xml:space="preserve"> </w:t>
            </w:r>
            <w:r>
              <w:rPr>
                <w:rFonts w:hint="eastAsia" w:ascii="宋体" w:hAnsi="宋体" w:eastAsia="宋体" w:cs="宋体"/>
                <w:spacing w:val="-37"/>
                <w:sz w:val="21"/>
                <w:szCs w:val="21"/>
                <w:highlight w:val="none"/>
                <w:lang w:val="en-US" w:eastAsia="zh-CN"/>
              </w:rPr>
              <w:t>4-6</w:t>
            </w:r>
            <w:r>
              <w:rPr>
                <w:rFonts w:hint="eastAsia" w:ascii="宋体" w:hAnsi="宋体" w:eastAsia="宋体" w:cs="宋体"/>
                <w:b/>
                <w:bCs/>
                <w:spacing w:val="-6"/>
                <w:sz w:val="21"/>
                <w:szCs w:val="21"/>
                <w:highlight w:val="none"/>
              </w:rPr>
              <w:t>分，差</w:t>
            </w:r>
            <w:r>
              <w:rPr>
                <w:rFonts w:hint="eastAsia" w:ascii="宋体" w:hAnsi="宋体" w:eastAsia="宋体" w:cs="宋体"/>
                <w:b/>
                <w:bCs/>
                <w:spacing w:val="-5"/>
                <w:sz w:val="21"/>
                <w:szCs w:val="21"/>
                <w:highlight w:val="none"/>
                <w:lang w:val="en-US" w:eastAsia="zh-CN"/>
              </w:rPr>
              <w:t>或不提供得</w:t>
            </w:r>
            <w:r>
              <w:rPr>
                <w:rFonts w:hint="eastAsia" w:ascii="宋体" w:hAnsi="宋体" w:eastAsia="宋体" w:cs="宋体"/>
                <w:spacing w:val="-50"/>
                <w:sz w:val="21"/>
                <w:szCs w:val="21"/>
                <w:highlight w:val="none"/>
              </w:rPr>
              <w:t xml:space="preserve"> </w:t>
            </w:r>
            <w:r>
              <w:rPr>
                <w:rFonts w:hint="eastAsia" w:cs="宋体"/>
                <w:b/>
                <w:bCs/>
                <w:spacing w:val="-6"/>
                <w:sz w:val="21"/>
                <w:szCs w:val="21"/>
                <w:highlight w:val="none"/>
                <w:lang w:val="en-US" w:eastAsia="zh-CN"/>
              </w:rPr>
              <w:t>3</w:t>
            </w:r>
            <w:r>
              <w:rPr>
                <w:rFonts w:hint="eastAsia" w:ascii="宋体" w:hAnsi="宋体" w:eastAsia="宋体" w:cs="宋体"/>
                <w:spacing w:val="-35"/>
                <w:sz w:val="21"/>
                <w:szCs w:val="21"/>
                <w:highlight w:val="none"/>
              </w:rPr>
              <w:t xml:space="preserve"> </w:t>
            </w:r>
            <w:r>
              <w:rPr>
                <w:rFonts w:hint="eastAsia" w:ascii="宋体" w:hAnsi="宋体" w:eastAsia="宋体" w:cs="宋体"/>
                <w:b/>
                <w:bCs/>
                <w:spacing w:val="-6"/>
                <w:sz w:val="21"/>
                <w:szCs w:val="21"/>
                <w:highlight w:val="none"/>
              </w:rPr>
              <w:t>分。</w:t>
            </w:r>
          </w:p>
        </w:tc>
        <w:tc>
          <w:tcPr>
            <w:tcW w:w="1892" w:type="dxa"/>
            <w:vMerge w:val="continue"/>
            <w:tcBorders>
              <w:top w:val="nil"/>
              <w:bottom w:val="nil"/>
            </w:tcBorders>
            <w:vAlign w:val="center"/>
          </w:tcPr>
          <w:p>
            <w:pPr>
              <w:snapToGrid w:val="0"/>
              <w:spacing w:line="240" w:lineRule="auto"/>
              <w:ind w:left="0" w:leftChars="0" w:right="0" w:rightChars="0" w:firstLine="0" w:firstLineChars="0"/>
              <w:jc w:val="center"/>
              <w:rPr>
                <w:rFonts w:hint="eastAsia" w:ascii="宋体" w:hAnsi="宋体" w:eastAsia="宋体" w:cs="宋体"/>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20" w:type="dxa"/>
            <w:vMerge w:val="continue"/>
            <w:vAlign w:val="center"/>
          </w:tcPr>
          <w:p>
            <w:pPr>
              <w:pStyle w:val="15"/>
              <w:snapToGrid w:val="0"/>
              <w:spacing w:before="245" w:line="240" w:lineRule="auto"/>
              <w:ind w:left="0" w:leftChars="0" w:right="0" w:rightChars="0" w:firstLine="0" w:firstLineChars="0"/>
              <w:jc w:val="center"/>
              <w:rPr>
                <w:rFonts w:hint="eastAsia" w:ascii="宋体" w:hAnsi="宋体" w:eastAsia="宋体" w:cs="宋体"/>
                <w:sz w:val="21"/>
                <w:szCs w:val="21"/>
                <w:highlight w:val="none"/>
              </w:rPr>
            </w:pPr>
          </w:p>
        </w:tc>
        <w:tc>
          <w:tcPr>
            <w:tcW w:w="810" w:type="dxa"/>
            <w:vMerge w:val="continue"/>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rPr>
            </w:pPr>
          </w:p>
        </w:tc>
        <w:tc>
          <w:tcPr>
            <w:tcW w:w="610" w:type="dxa"/>
            <w:vAlign w:val="center"/>
          </w:tcPr>
          <w:p>
            <w:pPr>
              <w:pStyle w:val="15"/>
              <w:snapToGrid w:val="0"/>
              <w:spacing w:before="68" w:line="240" w:lineRule="auto"/>
              <w:ind w:left="0" w:leftChars="0" w:right="0" w:rightChars="0" w:firstLine="0" w:firstLineChars="0"/>
              <w:jc w:val="center"/>
              <w:rPr>
                <w:rFonts w:hint="default"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20</w:t>
            </w:r>
          </w:p>
        </w:tc>
        <w:tc>
          <w:tcPr>
            <w:tcW w:w="5460" w:type="dxa"/>
            <w:vAlign w:val="center"/>
          </w:tcPr>
          <w:p>
            <w:pPr>
              <w:pStyle w:val="15"/>
              <w:snapToGrid w:val="0"/>
              <w:spacing w:before="125" w:line="240" w:lineRule="auto"/>
              <w:ind w:left="0" w:leftChars="0" w:right="0" w:rightChars="0" w:firstLine="0" w:firstLineChars="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sz w:val="21"/>
                <w:szCs w:val="21"/>
                <w:highlight w:val="none"/>
              </w:rPr>
              <w:t>方案设计效果呈现：</w:t>
            </w:r>
            <w:r>
              <w:rPr>
                <w:rFonts w:hint="eastAsia" w:ascii="宋体" w:hAnsi="宋体" w:eastAsia="宋体" w:cs="宋体"/>
                <w:color w:val="000000"/>
                <w:kern w:val="0"/>
                <w:sz w:val="21"/>
                <w:szCs w:val="21"/>
                <w:highlight w:val="none"/>
                <w:lang w:bidi="ar"/>
              </w:rPr>
              <w:t>通过造型、材质、灯光、色调等要素的综合运用，营造各板块展览氛围，展示手法契合展示内容，展示手段多样。</w:t>
            </w:r>
            <w:r>
              <w:rPr>
                <w:rFonts w:hint="eastAsia" w:ascii="宋体" w:hAnsi="宋体" w:eastAsia="宋体" w:cs="宋体"/>
                <w:color w:val="000000"/>
                <w:kern w:val="0"/>
                <w:sz w:val="21"/>
                <w:szCs w:val="21"/>
                <w:highlight w:val="none"/>
                <w:lang w:val="en-US" w:eastAsia="zh-CN" w:bidi="ar"/>
              </w:rPr>
              <w:t>根据采购需求</w:t>
            </w:r>
            <w:r>
              <w:rPr>
                <w:rFonts w:hint="eastAsia" w:ascii="宋体" w:hAnsi="宋体" w:eastAsia="宋体" w:cs="宋体"/>
                <w:color w:val="000000"/>
                <w:kern w:val="0"/>
                <w:sz w:val="21"/>
                <w:szCs w:val="21"/>
                <w:highlight w:val="none"/>
                <w:lang w:bidi="ar"/>
              </w:rPr>
              <w:t>，</w:t>
            </w:r>
            <w:r>
              <w:rPr>
                <w:rFonts w:hint="eastAsia" w:ascii="宋体" w:hAnsi="宋体" w:eastAsia="宋体" w:cs="宋体"/>
                <w:color w:val="000000"/>
                <w:kern w:val="0"/>
                <w:sz w:val="21"/>
                <w:szCs w:val="21"/>
                <w:highlight w:val="none"/>
                <w:lang w:val="en-US" w:eastAsia="zh-CN" w:bidi="ar"/>
              </w:rPr>
              <w:t>对本次设计中的重点、亮点部分进行说明及重点、亮点部分在整体展陈中的定位与作用。根据投标人差异酌情打分；</w:t>
            </w:r>
          </w:p>
          <w:p>
            <w:pPr>
              <w:pStyle w:val="15"/>
              <w:snapToGrid w:val="0"/>
              <w:spacing w:before="125" w:line="240" w:lineRule="auto"/>
              <w:ind w:left="0" w:leftChars="0" w:right="0" w:rightChars="0" w:firstLine="0" w:firstLineChars="0"/>
              <w:jc w:val="left"/>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rPr>
              <w:t>优的得</w:t>
            </w:r>
            <w:r>
              <w:rPr>
                <w:rFonts w:hint="eastAsia" w:ascii="宋体" w:hAnsi="宋体" w:eastAsia="宋体" w:cs="宋体"/>
                <w:spacing w:val="-29"/>
                <w:sz w:val="21"/>
                <w:szCs w:val="21"/>
                <w:highlight w:val="none"/>
              </w:rPr>
              <w:t xml:space="preserve"> </w:t>
            </w:r>
            <w:r>
              <w:rPr>
                <w:rFonts w:hint="eastAsia" w:ascii="宋体" w:hAnsi="宋体" w:eastAsia="宋体" w:cs="宋体"/>
                <w:spacing w:val="-29"/>
                <w:sz w:val="21"/>
                <w:szCs w:val="21"/>
                <w:highlight w:val="none"/>
                <w:lang w:val="en-US" w:eastAsia="zh-CN"/>
              </w:rPr>
              <w:t>1</w:t>
            </w:r>
            <w:r>
              <w:rPr>
                <w:rFonts w:hint="eastAsia" w:cs="宋体"/>
                <w:spacing w:val="-29"/>
                <w:sz w:val="21"/>
                <w:szCs w:val="21"/>
                <w:highlight w:val="none"/>
                <w:lang w:val="en-US" w:eastAsia="zh-CN"/>
              </w:rPr>
              <w:t>5</w:t>
            </w:r>
            <w:r>
              <w:rPr>
                <w:rFonts w:hint="eastAsia" w:ascii="宋体" w:hAnsi="宋体" w:eastAsia="宋体" w:cs="宋体"/>
                <w:spacing w:val="-29"/>
                <w:sz w:val="21"/>
                <w:szCs w:val="21"/>
                <w:highlight w:val="none"/>
                <w:lang w:val="en-US" w:eastAsia="zh-CN"/>
              </w:rPr>
              <w:t>-20</w:t>
            </w:r>
            <w:r>
              <w:rPr>
                <w:rFonts w:hint="eastAsia" w:ascii="宋体" w:hAnsi="宋体" w:eastAsia="宋体" w:cs="宋体"/>
                <w:b/>
                <w:bCs/>
                <w:spacing w:val="-6"/>
                <w:sz w:val="21"/>
                <w:szCs w:val="21"/>
                <w:highlight w:val="none"/>
              </w:rPr>
              <w:t>分，</w:t>
            </w:r>
            <w:r>
              <w:rPr>
                <w:rFonts w:hint="eastAsia" w:ascii="宋体" w:hAnsi="宋体" w:eastAsia="宋体" w:cs="宋体"/>
                <w:spacing w:val="-63"/>
                <w:sz w:val="21"/>
                <w:szCs w:val="21"/>
                <w:highlight w:val="none"/>
              </w:rPr>
              <w:t xml:space="preserve"> </w:t>
            </w:r>
            <w:r>
              <w:rPr>
                <w:rFonts w:hint="eastAsia" w:ascii="宋体" w:hAnsi="宋体" w:eastAsia="宋体" w:cs="宋体"/>
                <w:b/>
                <w:bCs/>
                <w:spacing w:val="-6"/>
                <w:sz w:val="21"/>
                <w:szCs w:val="21"/>
                <w:highlight w:val="none"/>
              </w:rPr>
              <w:t>良好的得</w:t>
            </w:r>
            <w:r>
              <w:rPr>
                <w:rFonts w:hint="eastAsia" w:cs="宋体"/>
                <w:spacing w:val="-36"/>
                <w:sz w:val="21"/>
                <w:szCs w:val="21"/>
                <w:highlight w:val="none"/>
                <w:lang w:val="en-US" w:eastAsia="zh-CN"/>
              </w:rPr>
              <w:t>9</w:t>
            </w:r>
            <w:r>
              <w:rPr>
                <w:rFonts w:hint="eastAsia" w:ascii="宋体" w:hAnsi="宋体" w:eastAsia="宋体" w:cs="宋体"/>
                <w:spacing w:val="-36"/>
                <w:sz w:val="21"/>
                <w:szCs w:val="21"/>
                <w:highlight w:val="none"/>
                <w:lang w:val="en-US" w:eastAsia="zh-CN"/>
              </w:rPr>
              <w:t>-1</w:t>
            </w:r>
            <w:r>
              <w:rPr>
                <w:rFonts w:hint="eastAsia" w:cs="宋体"/>
                <w:spacing w:val="-36"/>
                <w:sz w:val="21"/>
                <w:szCs w:val="21"/>
                <w:highlight w:val="none"/>
                <w:lang w:val="en-US" w:eastAsia="zh-CN"/>
              </w:rPr>
              <w:t>4</w:t>
            </w:r>
            <w:r>
              <w:rPr>
                <w:rFonts w:hint="eastAsia" w:ascii="宋体" w:hAnsi="宋体" w:eastAsia="宋体" w:cs="宋体"/>
                <w:b/>
                <w:bCs/>
                <w:spacing w:val="-6"/>
                <w:sz w:val="21"/>
                <w:szCs w:val="21"/>
                <w:highlight w:val="none"/>
              </w:rPr>
              <w:t>分，差</w:t>
            </w:r>
            <w:r>
              <w:rPr>
                <w:rFonts w:hint="eastAsia" w:ascii="宋体" w:hAnsi="宋体" w:eastAsia="宋体" w:cs="宋体"/>
                <w:b/>
                <w:bCs/>
                <w:spacing w:val="-5"/>
                <w:sz w:val="21"/>
                <w:szCs w:val="21"/>
                <w:highlight w:val="none"/>
                <w:lang w:val="en-US" w:eastAsia="zh-CN"/>
              </w:rPr>
              <w:t>或不提供得</w:t>
            </w:r>
            <w:r>
              <w:rPr>
                <w:rFonts w:hint="eastAsia" w:ascii="宋体" w:hAnsi="宋体" w:eastAsia="宋体" w:cs="宋体"/>
                <w:spacing w:val="-51"/>
                <w:sz w:val="21"/>
                <w:szCs w:val="21"/>
                <w:highlight w:val="none"/>
              </w:rPr>
              <w:t xml:space="preserve"> </w:t>
            </w:r>
            <w:r>
              <w:rPr>
                <w:rFonts w:hint="eastAsia" w:cs="宋体"/>
                <w:b/>
                <w:bCs/>
                <w:spacing w:val="-6"/>
                <w:sz w:val="21"/>
                <w:szCs w:val="21"/>
                <w:highlight w:val="none"/>
                <w:lang w:val="en-US" w:eastAsia="zh-CN"/>
              </w:rPr>
              <w:t>8</w:t>
            </w:r>
            <w:r>
              <w:rPr>
                <w:rFonts w:hint="eastAsia" w:ascii="宋体" w:hAnsi="宋体" w:eastAsia="宋体" w:cs="宋体"/>
                <w:b/>
                <w:bCs/>
                <w:spacing w:val="-6"/>
                <w:sz w:val="21"/>
                <w:szCs w:val="21"/>
                <w:highlight w:val="none"/>
              </w:rPr>
              <w:t>分。</w:t>
            </w:r>
          </w:p>
        </w:tc>
        <w:tc>
          <w:tcPr>
            <w:tcW w:w="1892" w:type="dxa"/>
            <w:tcBorders>
              <w:top w:val="nil"/>
              <w:bottom w:val="nil"/>
            </w:tcBorders>
            <w:vAlign w:val="center"/>
          </w:tcPr>
          <w:p>
            <w:pPr>
              <w:snapToGrid w:val="0"/>
              <w:spacing w:line="240" w:lineRule="auto"/>
              <w:ind w:left="0" w:leftChars="0" w:right="0" w:rightChars="0" w:firstLine="0" w:firstLineChars="0"/>
              <w:jc w:val="center"/>
              <w:rPr>
                <w:rFonts w:hint="eastAsia" w:ascii="宋体" w:hAnsi="宋体" w:eastAsia="宋体" w:cs="宋体"/>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2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8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施工组织方案（</w:t>
            </w:r>
            <w:r>
              <w:rPr>
                <w:rFonts w:hint="eastAsia" w:ascii="宋体" w:hAnsi="宋体" w:eastAsia="宋体" w:cs="宋体"/>
                <w:spacing w:val="-6"/>
                <w:sz w:val="21"/>
                <w:szCs w:val="21"/>
                <w:highlight w:val="none"/>
                <w:lang w:val="en-US" w:eastAsia="zh-CN"/>
              </w:rPr>
              <w:t>10分</w:t>
            </w:r>
            <w:r>
              <w:rPr>
                <w:rFonts w:hint="eastAsia" w:ascii="宋体" w:hAnsi="宋体" w:eastAsia="宋体" w:cs="宋体"/>
                <w:sz w:val="21"/>
                <w:szCs w:val="21"/>
                <w:highlight w:val="none"/>
                <w:lang w:val="en-US" w:eastAsia="zh-CN"/>
              </w:rPr>
              <w:t>）</w:t>
            </w:r>
          </w:p>
        </w:tc>
        <w:tc>
          <w:tcPr>
            <w:tcW w:w="610" w:type="dxa"/>
            <w:tcBorders>
              <w:right w:val="single" w:color="auto" w:sz="4" w:space="0"/>
            </w:tcBorders>
            <w:vAlign w:val="center"/>
          </w:tcPr>
          <w:p>
            <w:pPr>
              <w:pStyle w:val="15"/>
              <w:snapToGrid w:val="0"/>
              <w:spacing w:before="68" w:line="240" w:lineRule="auto"/>
              <w:ind w:left="0" w:leftChars="0" w:right="0" w:rightChars="0" w:firstLine="0" w:firstLineChars="0"/>
              <w:jc w:val="center"/>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10</w:t>
            </w:r>
          </w:p>
        </w:tc>
        <w:tc>
          <w:tcPr>
            <w:tcW w:w="5460" w:type="dxa"/>
            <w:tcBorders>
              <w:top w:val="single" w:color="auto" w:sz="4" w:space="0"/>
              <w:left w:val="single" w:color="auto" w:sz="4" w:space="0"/>
            </w:tcBorders>
            <w:vAlign w:val="center"/>
          </w:tcPr>
          <w:p>
            <w:pPr>
              <w:pStyle w:val="15"/>
              <w:snapToGrid w:val="0"/>
              <w:spacing w:before="125" w:line="240" w:lineRule="auto"/>
              <w:ind w:left="0" w:leftChars="0" w:right="0" w:rightChars="0" w:firstLine="0" w:firstLineChars="0"/>
              <w:jc w:val="left"/>
              <w:rPr>
                <w:rFonts w:hint="eastAsia"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bidi="ar"/>
              </w:rPr>
              <w:t>设计、施工说明内容正确、完整，平面图、 立面图、剖面图符合深度要求。总体施工部署</w:t>
            </w:r>
            <w:r>
              <w:rPr>
                <w:rFonts w:hint="eastAsia" w:ascii="宋体" w:hAnsi="宋体" w:eastAsia="宋体" w:cs="宋体"/>
                <w:color w:val="000000"/>
                <w:kern w:val="0"/>
                <w:sz w:val="21"/>
                <w:szCs w:val="21"/>
                <w:highlight w:val="none"/>
                <w:lang w:val="en-US" w:eastAsia="zh-CN" w:bidi="ar"/>
              </w:rPr>
              <w:t>明确</w:t>
            </w:r>
            <w:r>
              <w:rPr>
                <w:rFonts w:hint="eastAsia" w:ascii="宋体" w:hAnsi="宋体" w:eastAsia="宋体" w:cs="宋体"/>
                <w:color w:val="000000"/>
                <w:kern w:val="0"/>
                <w:sz w:val="21"/>
                <w:szCs w:val="21"/>
                <w:highlight w:val="none"/>
                <w:lang w:bidi="ar"/>
              </w:rPr>
              <w:t>、</w:t>
            </w:r>
            <w:r>
              <w:rPr>
                <w:rFonts w:hint="eastAsia" w:ascii="宋体" w:hAnsi="宋体" w:eastAsia="宋体" w:cs="宋体"/>
                <w:color w:val="000000"/>
                <w:kern w:val="0"/>
                <w:sz w:val="21"/>
                <w:szCs w:val="21"/>
                <w:highlight w:val="none"/>
                <w:lang w:val="en-US" w:eastAsia="zh-CN" w:bidi="ar"/>
              </w:rPr>
              <w:t>有</w:t>
            </w:r>
            <w:r>
              <w:rPr>
                <w:rFonts w:hint="eastAsia" w:ascii="宋体" w:hAnsi="宋体" w:eastAsia="宋体" w:cs="宋体"/>
                <w:color w:val="000000"/>
                <w:kern w:val="0"/>
                <w:sz w:val="21"/>
                <w:szCs w:val="21"/>
                <w:highlight w:val="none"/>
                <w:lang w:bidi="ar"/>
              </w:rPr>
              <w:t>装饰</w:t>
            </w:r>
            <w:r>
              <w:rPr>
                <w:rFonts w:hint="eastAsia"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美工</w:t>
            </w:r>
            <w:r>
              <w:rPr>
                <w:rFonts w:hint="eastAsia"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多媒体</w:t>
            </w:r>
            <w:r>
              <w:rPr>
                <w:rFonts w:hint="eastAsia"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灯光分部分项专项方案</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重难点对策</w:t>
            </w:r>
            <w:r>
              <w:rPr>
                <w:rFonts w:hint="eastAsia" w:ascii="宋体" w:hAnsi="宋体" w:eastAsia="宋体" w:cs="宋体"/>
                <w:color w:val="000000"/>
                <w:kern w:val="0"/>
                <w:sz w:val="21"/>
                <w:szCs w:val="21"/>
                <w:highlight w:val="none"/>
                <w:lang w:val="en-US" w:eastAsia="zh-CN" w:bidi="ar"/>
              </w:rPr>
              <w:t>及</w:t>
            </w:r>
            <w:r>
              <w:rPr>
                <w:rFonts w:hint="eastAsia" w:ascii="宋体" w:hAnsi="宋体" w:eastAsia="宋体" w:cs="宋体"/>
                <w:color w:val="000000"/>
                <w:kern w:val="0"/>
                <w:sz w:val="21"/>
                <w:szCs w:val="21"/>
                <w:highlight w:val="none"/>
                <w:lang w:bidi="ar"/>
              </w:rPr>
              <w:t>进度计划</w:t>
            </w:r>
            <w:r>
              <w:rPr>
                <w:rFonts w:hint="eastAsia" w:ascii="宋体" w:hAnsi="宋体" w:eastAsia="宋体" w:cs="宋体"/>
                <w:color w:val="000000"/>
                <w:kern w:val="0"/>
                <w:sz w:val="21"/>
                <w:szCs w:val="21"/>
                <w:highlight w:val="none"/>
                <w:lang w:val="en-US" w:eastAsia="zh-CN" w:bidi="ar"/>
              </w:rPr>
              <w:t>合理</w:t>
            </w:r>
            <w:r>
              <w:rPr>
                <w:rFonts w:hint="eastAsia" w:ascii="宋体" w:hAnsi="宋体" w:eastAsia="宋体" w:cs="宋体"/>
                <w:color w:val="000000"/>
                <w:kern w:val="0"/>
                <w:sz w:val="21"/>
                <w:szCs w:val="21"/>
                <w:highlight w:val="none"/>
                <w:lang w:bidi="ar"/>
              </w:rPr>
              <w:t>、</w:t>
            </w:r>
            <w:r>
              <w:rPr>
                <w:rFonts w:hint="eastAsia" w:ascii="宋体" w:hAnsi="宋体" w:eastAsia="宋体" w:cs="宋体"/>
                <w:sz w:val="21"/>
                <w:szCs w:val="21"/>
                <w:highlight w:val="none"/>
                <w:lang w:val="en-US" w:eastAsia="zh-CN"/>
              </w:rPr>
              <w:t>确保施工物料环保安全、质量可靠</w:t>
            </w:r>
            <w:r>
              <w:rPr>
                <w:rFonts w:hint="eastAsia" w:cs="宋体"/>
                <w:sz w:val="21"/>
                <w:szCs w:val="21"/>
                <w:highlight w:val="none"/>
                <w:lang w:val="en-US" w:eastAsia="zh-CN"/>
              </w:rPr>
              <w:t>和</w:t>
            </w:r>
            <w:r>
              <w:rPr>
                <w:rFonts w:hint="eastAsia" w:ascii="宋体" w:hAnsi="宋体" w:eastAsia="宋体" w:cs="宋体"/>
                <w:color w:val="000000"/>
                <w:kern w:val="0"/>
                <w:sz w:val="21"/>
                <w:szCs w:val="21"/>
                <w:highlight w:val="none"/>
                <w:lang w:bidi="ar"/>
              </w:rPr>
              <w:t>通病防治</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val="en-US" w:eastAsia="zh-CN" w:bidi="ar"/>
              </w:rPr>
              <w:t>保证施工</w:t>
            </w:r>
            <w:r>
              <w:rPr>
                <w:rFonts w:hint="eastAsia" w:ascii="宋体" w:hAnsi="宋体" w:eastAsia="宋体" w:cs="宋体"/>
                <w:color w:val="000000"/>
                <w:kern w:val="0"/>
                <w:sz w:val="21"/>
                <w:szCs w:val="21"/>
                <w:highlight w:val="none"/>
                <w:lang w:bidi="ar"/>
              </w:rPr>
              <w:t>安全文明环保</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资源配置、多媒体与装饰配合</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根据投标人差异</w:t>
            </w:r>
            <w:r>
              <w:rPr>
                <w:rFonts w:hint="eastAsia" w:ascii="宋体" w:hAnsi="宋体" w:eastAsia="宋体" w:cs="宋体"/>
                <w:spacing w:val="-6"/>
                <w:sz w:val="21"/>
                <w:szCs w:val="21"/>
                <w:highlight w:val="none"/>
              </w:rPr>
              <w:t>酌情打分；</w:t>
            </w:r>
          </w:p>
          <w:p>
            <w:pPr>
              <w:pStyle w:val="15"/>
              <w:snapToGrid w:val="0"/>
              <w:spacing w:before="125" w:line="240" w:lineRule="auto"/>
              <w:ind w:left="0" w:leftChars="0" w:right="0" w:rightChars="0" w:firstLine="0" w:firstLineChars="0"/>
              <w:jc w:val="left"/>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rPr>
              <w:t>优的得</w:t>
            </w:r>
            <w:r>
              <w:rPr>
                <w:rFonts w:hint="eastAsia" w:ascii="宋体" w:hAnsi="宋体" w:eastAsia="宋体" w:cs="宋体"/>
                <w:spacing w:val="-35"/>
                <w:sz w:val="21"/>
                <w:szCs w:val="21"/>
                <w:highlight w:val="none"/>
              </w:rPr>
              <w:t xml:space="preserve"> </w:t>
            </w:r>
            <w:r>
              <w:rPr>
                <w:rFonts w:hint="eastAsia" w:ascii="宋体" w:hAnsi="宋体" w:eastAsia="宋体" w:cs="宋体"/>
                <w:spacing w:val="-35"/>
                <w:sz w:val="21"/>
                <w:szCs w:val="21"/>
                <w:highlight w:val="none"/>
                <w:lang w:val="en-US" w:eastAsia="zh-CN"/>
              </w:rPr>
              <w:t>7-10</w:t>
            </w:r>
            <w:r>
              <w:rPr>
                <w:rFonts w:hint="eastAsia" w:ascii="宋体" w:hAnsi="宋体" w:eastAsia="宋体" w:cs="宋体"/>
                <w:b/>
                <w:bCs/>
                <w:spacing w:val="-6"/>
                <w:sz w:val="21"/>
                <w:szCs w:val="21"/>
                <w:highlight w:val="none"/>
              </w:rPr>
              <w:t>分，</w:t>
            </w:r>
            <w:r>
              <w:rPr>
                <w:rFonts w:hint="eastAsia" w:ascii="宋体" w:hAnsi="宋体" w:eastAsia="宋体" w:cs="宋体"/>
                <w:spacing w:val="-62"/>
                <w:sz w:val="21"/>
                <w:szCs w:val="21"/>
                <w:highlight w:val="none"/>
              </w:rPr>
              <w:t xml:space="preserve"> </w:t>
            </w:r>
            <w:r>
              <w:rPr>
                <w:rFonts w:hint="eastAsia" w:ascii="宋体" w:hAnsi="宋体" w:eastAsia="宋体" w:cs="宋体"/>
                <w:b/>
                <w:bCs/>
                <w:spacing w:val="-6"/>
                <w:sz w:val="21"/>
                <w:szCs w:val="21"/>
                <w:highlight w:val="none"/>
              </w:rPr>
              <w:t>良好的得</w:t>
            </w:r>
            <w:r>
              <w:rPr>
                <w:rFonts w:hint="eastAsia" w:ascii="宋体" w:hAnsi="宋体" w:eastAsia="宋体" w:cs="宋体"/>
                <w:spacing w:val="-37"/>
                <w:sz w:val="21"/>
                <w:szCs w:val="21"/>
                <w:highlight w:val="none"/>
              </w:rPr>
              <w:t xml:space="preserve"> </w:t>
            </w:r>
            <w:r>
              <w:rPr>
                <w:rFonts w:hint="eastAsia" w:ascii="宋体" w:hAnsi="宋体" w:eastAsia="宋体" w:cs="宋体"/>
                <w:spacing w:val="-37"/>
                <w:sz w:val="21"/>
                <w:szCs w:val="21"/>
                <w:highlight w:val="none"/>
                <w:lang w:val="en-US" w:eastAsia="zh-CN"/>
              </w:rPr>
              <w:t>4-6</w:t>
            </w:r>
            <w:r>
              <w:rPr>
                <w:rFonts w:hint="eastAsia" w:ascii="宋体" w:hAnsi="宋体" w:eastAsia="宋体" w:cs="宋体"/>
                <w:b/>
                <w:bCs/>
                <w:spacing w:val="-6"/>
                <w:sz w:val="21"/>
                <w:szCs w:val="21"/>
                <w:highlight w:val="none"/>
              </w:rPr>
              <w:t>分，差</w:t>
            </w:r>
            <w:r>
              <w:rPr>
                <w:rFonts w:hint="eastAsia" w:ascii="宋体" w:hAnsi="宋体" w:eastAsia="宋体" w:cs="宋体"/>
                <w:b/>
                <w:bCs/>
                <w:spacing w:val="-5"/>
                <w:sz w:val="21"/>
                <w:szCs w:val="21"/>
                <w:highlight w:val="none"/>
                <w:lang w:val="en-US" w:eastAsia="zh-CN"/>
              </w:rPr>
              <w:t>或不提供得</w:t>
            </w:r>
            <w:r>
              <w:rPr>
                <w:rFonts w:hint="eastAsia" w:ascii="宋体" w:hAnsi="宋体" w:eastAsia="宋体" w:cs="宋体"/>
                <w:spacing w:val="-50"/>
                <w:sz w:val="21"/>
                <w:szCs w:val="21"/>
                <w:highlight w:val="none"/>
              </w:rPr>
              <w:t xml:space="preserve"> </w:t>
            </w:r>
            <w:r>
              <w:rPr>
                <w:rFonts w:hint="eastAsia" w:cs="宋体"/>
                <w:b/>
                <w:bCs/>
                <w:spacing w:val="-6"/>
                <w:sz w:val="21"/>
                <w:szCs w:val="21"/>
                <w:highlight w:val="none"/>
                <w:lang w:val="en-US" w:eastAsia="zh-CN"/>
              </w:rPr>
              <w:t>3</w:t>
            </w:r>
            <w:r>
              <w:rPr>
                <w:rFonts w:hint="eastAsia" w:ascii="宋体" w:hAnsi="宋体" w:eastAsia="宋体" w:cs="宋体"/>
                <w:spacing w:val="-35"/>
                <w:sz w:val="21"/>
                <w:szCs w:val="21"/>
                <w:highlight w:val="none"/>
              </w:rPr>
              <w:t xml:space="preserve"> </w:t>
            </w:r>
            <w:r>
              <w:rPr>
                <w:rFonts w:hint="eastAsia" w:ascii="宋体" w:hAnsi="宋体" w:eastAsia="宋体" w:cs="宋体"/>
                <w:b/>
                <w:bCs/>
                <w:spacing w:val="-6"/>
                <w:sz w:val="21"/>
                <w:szCs w:val="21"/>
                <w:highlight w:val="none"/>
              </w:rPr>
              <w:t>分。</w:t>
            </w:r>
          </w:p>
        </w:tc>
        <w:tc>
          <w:tcPr>
            <w:tcW w:w="1892" w:type="dxa"/>
            <w:tcBorders>
              <w:top w:val="single" w:color="auto" w:sz="4" w:space="0"/>
              <w:bottom w:val="nil"/>
              <w:right w:val="single" w:color="auto" w:sz="4" w:space="0"/>
            </w:tcBorders>
            <w:vAlign w:val="center"/>
          </w:tcPr>
          <w:p>
            <w:pPr>
              <w:snapToGrid w:val="0"/>
              <w:spacing w:line="240" w:lineRule="auto"/>
              <w:ind w:left="0" w:leftChars="0" w:right="0" w:rightChars="0" w:firstLine="0" w:firstLineChars="0"/>
              <w:jc w:val="center"/>
              <w:rPr>
                <w:rFonts w:hint="eastAsia" w:ascii="宋体" w:hAnsi="宋体" w:eastAsia="宋体" w:cs="宋体"/>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rPr>
        <w:tc>
          <w:tcPr>
            <w:tcW w:w="52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810" w:type="dxa"/>
            <w:vAlign w:val="center"/>
          </w:tcPr>
          <w:p>
            <w:pPr>
              <w:pStyle w:val="15"/>
              <w:snapToGrid w:val="0"/>
              <w:spacing w:before="68" w:line="240" w:lineRule="auto"/>
              <w:ind w:left="0" w:leftChars="0" w:right="0" w:righ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售后服务方案（5分）</w:t>
            </w:r>
          </w:p>
        </w:tc>
        <w:tc>
          <w:tcPr>
            <w:tcW w:w="610" w:type="dxa"/>
            <w:tcBorders>
              <w:right w:val="single" w:color="auto" w:sz="4" w:space="0"/>
            </w:tcBorders>
            <w:vAlign w:val="center"/>
          </w:tcPr>
          <w:p>
            <w:pPr>
              <w:pStyle w:val="15"/>
              <w:snapToGrid w:val="0"/>
              <w:spacing w:before="68" w:line="240" w:lineRule="auto"/>
              <w:ind w:left="0" w:leftChars="0" w:right="0" w:rightChars="0" w:firstLine="0" w:firstLineChars="0"/>
              <w:jc w:val="center"/>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5</w:t>
            </w:r>
          </w:p>
        </w:tc>
        <w:tc>
          <w:tcPr>
            <w:tcW w:w="5460" w:type="dxa"/>
            <w:tcBorders>
              <w:left w:val="single" w:color="auto" w:sz="4" w:space="0"/>
              <w:bottom w:val="single" w:color="auto" w:sz="4" w:space="0"/>
            </w:tcBorders>
            <w:vAlign w:val="center"/>
          </w:tcPr>
          <w:p>
            <w:pPr>
              <w:pStyle w:val="15"/>
              <w:snapToGrid w:val="0"/>
              <w:spacing w:before="125" w:line="240" w:lineRule="auto"/>
              <w:ind w:left="0" w:leftChars="0" w:right="0" w:rightChars="0" w:firstLine="0" w:firstLine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根据投标人提供售后服务保障的承诺、保障措施及计划安排、售后服务保障体系合理完善、质量保证措施的全面性和可靠性。</w:t>
            </w:r>
            <w:r>
              <w:rPr>
                <w:rFonts w:hint="eastAsia" w:ascii="宋体" w:hAnsi="宋体" w:eastAsia="宋体" w:cs="宋体"/>
                <w:sz w:val="21"/>
                <w:szCs w:val="21"/>
                <w:highlight w:val="none"/>
              </w:rPr>
              <w:t>根据投标人差异</w:t>
            </w:r>
            <w:r>
              <w:rPr>
                <w:rFonts w:hint="eastAsia" w:ascii="宋体" w:hAnsi="宋体" w:eastAsia="宋体" w:cs="宋体"/>
                <w:spacing w:val="-6"/>
                <w:sz w:val="21"/>
                <w:szCs w:val="21"/>
                <w:highlight w:val="none"/>
              </w:rPr>
              <w:t>酌情打分；</w:t>
            </w:r>
          </w:p>
          <w:p>
            <w:pPr>
              <w:pStyle w:val="15"/>
              <w:snapToGrid w:val="0"/>
              <w:spacing w:before="125" w:line="240" w:lineRule="auto"/>
              <w:ind w:left="0" w:leftChars="0" w:right="0" w:rightChars="0" w:firstLine="0" w:firstLineChars="0"/>
              <w:jc w:val="left"/>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rPr>
              <w:t>优的</w:t>
            </w:r>
            <w:r>
              <w:rPr>
                <w:rFonts w:hint="eastAsia" w:ascii="宋体" w:hAnsi="宋体" w:eastAsia="宋体" w:cs="宋体"/>
                <w:b/>
                <w:bCs/>
                <w:spacing w:val="-5"/>
                <w:sz w:val="21"/>
                <w:szCs w:val="21"/>
                <w:highlight w:val="none"/>
                <w:lang w:val="en-US" w:eastAsia="zh-CN"/>
              </w:rPr>
              <w:t>得4-5分， 良好的得2-3分，</w:t>
            </w:r>
            <w:r>
              <w:rPr>
                <w:rFonts w:hint="eastAsia" w:ascii="宋体" w:hAnsi="宋体" w:eastAsia="宋体" w:cs="宋体"/>
                <w:b/>
                <w:bCs/>
                <w:spacing w:val="-6"/>
                <w:sz w:val="21"/>
                <w:szCs w:val="21"/>
                <w:highlight w:val="none"/>
              </w:rPr>
              <w:t>差</w:t>
            </w:r>
            <w:r>
              <w:rPr>
                <w:rFonts w:hint="eastAsia" w:ascii="宋体" w:hAnsi="宋体" w:eastAsia="宋体" w:cs="宋体"/>
                <w:b/>
                <w:bCs/>
                <w:spacing w:val="-5"/>
                <w:sz w:val="21"/>
                <w:szCs w:val="21"/>
                <w:highlight w:val="none"/>
                <w:lang w:val="en-US" w:eastAsia="zh-CN"/>
              </w:rPr>
              <w:t>或不提供得</w:t>
            </w:r>
            <w:r>
              <w:rPr>
                <w:rFonts w:hint="eastAsia" w:cs="宋体"/>
                <w:spacing w:val="-51"/>
                <w:sz w:val="21"/>
                <w:szCs w:val="21"/>
                <w:highlight w:val="none"/>
                <w:lang w:val="en-US" w:eastAsia="zh-CN"/>
              </w:rPr>
              <w:t>1</w:t>
            </w:r>
            <w:r>
              <w:rPr>
                <w:rFonts w:hint="eastAsia" w:ascii="宋体" w:hAnsi="宋体" w:eastAsia="宋体" w:cs="宋体"/>
                <w:b/>
                <w:bCs/>
                <w:spacing w:val="-6"/>
                <w:sz w:val="21"/>
                <w:szCs w:val="21"/>
                <w:highlight w:val="none"/>
              </w:rPr>
              <w:t>分。</w:t>
            </w:r>
          </w:p>
        </w:tc>
        <w:tc>
          <w:tcPr>
            <w:tcW w:w="1892" w:type="dxa"/>
            <w:tcBorders>
              <w:top w:val="nil"/>
              <w:bottom w:val="single" w:color="auto" w:sz="4" w:space="0"/>
              <w:right w:val="single" w:color="auto" w:sz="4" w:space="0"/>
            </w:tcBorders>
            <w:vAlign w:val="center"/>
          </w:tcPr>
          <w:p>
            <w:pPr>
              <w:snapToGrid w:val="0"/>
              <w:spacing w:line="240" w:lineRule="auto"/>
              <w:ind w:left="0" w:leftChars="0" w:right="0" w:rightChars="0" w:firstLine="0" w:firstLineChars="0"/>
              <w:jc w:val="center"/>
              <w:rPr>
                <w:rFonts w:hint="eastAsia" w:ascii="宋体" w:hAnsi="宋体" w:eastAsia="宋体" w:cs="宋体"/>
                <w:sz w:val="21"/>
                <w:szCs w:val="21"/>
                <w:highlight w:val="none"/>
              </w:rPr>
            </w:pPr>
          </w:p>
        </w:tc>
      </w:tr>
    </w:tbl>
    <w:p>
      <w:pPr>
        <w:spacing w:before="52" w:line="220" w:lineRule="auto"/>
        <w:jc w:val="center"/>
        <w:rPr>
          <w:rFonts w:hint="eastAsia" w:ascii="宋体" w:hAnsi="宋体" w:eastAsia="宋体" w:cs="宋体"/>
          <w:b/>
          <w:bCs/>
          <w:spacing w:val="-4"/>
          <w:sz w:val="21"/>
          <w:szCs w:val="21"/>
          <w:highlight w:val="none"/>
        </w:rPr>
      </w:pPr>
    </w:p>
    <w:p>
      <w:pPr>
        <w:spacing w:before="52" w:line="220" w:lineRule="auto"/>
        <w:ind w:left="820"/>
        <w:jc w:val="center"/>
        <w:rPr>
          <w:rFonts w:hint="eastAsia" w:ascii="宋体" w:hAnsi="宋体" w:eastAsia="宋体" w:cs="宋体"/>
          <w:b/>
          <w:bCs/>
          <w:spacing w:val="-4"/>
          <w:sz w:val="21"/>
          <w:szCs w:val="21"/>
          <w:highlight w:val="none"/>
        </w:rPr>
      </w:pPr>
    </w:p>
    <w:p>
      <w:pPr>
        <w:spacing w:before="52" w:line="220" w:lineRule="auto"/>
        <w:ind w:left="820"/>
        <w:jc w:val="center"/>
        <w:rPr>
          <w:rFonts w:hint="eastAsia" w:ascii="宋体" w:hAnsi="宋体" w:eastAsia="宋体" w:cs="宋体"/>
          <w:b/>
          <w:bCs/>
          <w:spacing w:val="-4"/>
          <w:sz w:val="21"/>
          <w:szCs w:val="21"/>
          <w:highlight w:val="none"/>
        </w:rPr>
      </w:pPr>
    </w:p>
    <w:p>
      <w:pPr>
        <w:spacing w:before="52" w:line="220" w:lineRule="auto"/>
        <w:ind w:left="820"/>
        <w:jc w:val="center"/>
        <w:rPr>
          <w:rFonts w:hint="eastAsia" w:ascii="宋体" w:hAnsi="宋体" w:eastAsia="宋体" w:cs="宋体"/>
          <w:b/>
          <w:bCs/>
          <w:spacing w:val="-4"/>
          <w:sz w:val="21"/>
          <w:szCs w:val="21"/>
          <w:highlight w:val="none"/>
        </w:rPr>
      </w:pPr>
    </w:p>
    <w:p>
      <w:pPr>
        <w:spacing w:before="52" w:line="220" w:lineRule="auto"/>
        <w:jc w:val="left"/>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lang w:val="en-US" w:eastAsia="zh-CN"/>
        </w:rPr>
        <w:t>3、</w:t>
      </w:r>
      <w:r>
        <w:rPr>
          <w:rFonts w:hint="eastAsia" w:ascii="宋体" w:hAnsi="宋体" w:eastAsia="宋体" w:cs="宋体"/>
          <w:b/>
          <w:bCs/>
          <w:spacing w:val="-4"/>
          <w:sz w:val="21"/>
          <w:szCs w:val="21"/>
          <w:highlight w:val="none"/>
        </w:rPr>
        <w:t>商务标评审细则（</w:t>
      </w:r>
      <w:r>
        <w:rPr>
          <w:rFonts w:hint="eastAsia" w:ascii="宋体" w:hAnsi="宋体" w:eastAsia="宋体" w:cs="宋体"/>
          <w:b/>
          <w:bCs/>
          <w:spacing w:val="-4"/>
          <w:sz w:val="21"/>
          <w:szCs w:val="21"/>
          <w:highlight w:val="none"/>
          <w:lang w:val="en-US" w:eastAsia="zh-CN"/>
        </w:rPr>
        <w:t>2</w:t>
      </w:r>
      <w:r>
        <w:rPr>
          <w:rFonts w:hint="eastAsia" w:ascii="宋体" w:hAnsi="宋体" w:eastAsia="宋体" w:cs="宋体"/>
          <w:b/>
          <w:bCs/>
          <w:spacing w:val="-4"/>
          <w:sz w:val="21"/>
          <w:szCs w:val="21"/>
          <w:highlight w:val="none"/>
        </w:rPr>
        <w:t>0</w:t>
      </w:r>
      <w:r>
        <w:rPr>
          <w:rFonts w:hint="eastAsia" w:ascii="宋体" w:hAnsi="宋体" w:eastAsia="宋体" w:cs="宋体"/>
          <w:spacing w:val="-23"/>
          <w:sz w:val="21"/>
          <w:szCs w:val="21"/>
          <w:highlight w:val="none"/>
        </w:rPr>
        <w:t xml:space="preserve"> </w:t>
      </w:r>
      <w:r>
        <w:rPr>
          <w:rFonts w:hint="eastAsia" w:ascii="宋体" w:hAnsi="宋体" w:eastAsia="宋体" w:cs="宋体"/>
          <w:b/>
          <w:bCs/>
          <w:spacing w:val="-4"/>
          <w:sz w:val="21"/>
          <w:szCs w:val="21"/>
          <w:highlight w:val="none"/>
        </w:rPr>
        <w:t>分）</w:t>
      </w:r>
    </w:p>
    <w:p>
      <w:pPr>
        <w:spacing w:line="20" w:lineRule="exact"/>
        <w:jc w:val="center"/>
        <w:rPr>
          <w:rFonts w:hint="eastAsia" w:ascii="宋体" w:hAnsi="宋体" w:eastAsia="宋体" w:cs="宋体"/>
          <w:sz w:val="21"/>
          <w:szCs w:val="21"/>
          <w:highlight w:val="none"/>
        </w:rPr>
      </w:pPr>
    </w:p>
    <w:tbl>
      <w:tblPr>
        <w:tblStyle w:val="16"/>
        <w:tblW w:w="9270" w:type="dxa"/>
        <w:tblInd w:w="-5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16"/>
        <w:gridCol w:w="816"/>
        <w:gridCol w:w="600"/>
        <w:gridCol w:w="5472"/>
        <w:gridCol w:w="18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1" w:hRule="atLeast"/>
        </w:trPr>
        <w:tc>
          <w:tcPr>
            <w:tcW w:w="516" w:type="dxa"/>
            <w:vAlign w:val="top"/>
          </w:tcPr>
          <w:p>
            <w:pPr>
              <w:spacing w:line="349" w:lineRule="auto"/>
              <w:jc w:val="center"/>
              <w:rPr>
                <w:rFonts w:hint="eastAsia" w:ascii="宋体" w:hAnsi="宋体" w:eastAsia="宋体" w:cs="宋体"/>
                <w:sz w:val="21"/>
                <w:szCs w:val="21"/>
                <w:highlight w:val="none"/>
              </w:rPr>
            </w:pPr>
          </w:p>
          <w:p>
            <w:pPr>
              <w:pStyle w:val="15"/>
              <w:spacing w:before="68" w:line="221" w:lineRule="auto"/>
              <w:ind w:left="157"/>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序号</w:t>
            </w:r>
          </w:p>
        </w:tc>
        <w:tc>
          <w:tcPr>
            <w:tcW w:w="816" w:type="dxa"/>
            <w:vAlign w:val="top"/>
          </w:tcPr>
          <w:p>
            <w:pPr>
              <w:spacing w:line="349" w:lineRule="auto"/>
              <w:jc w:val="center"/>
              <w:rPr>
                <w:rFonts w:hint="eastAsia" w:ascii="宋体" w:hAnsi="宋体" w:eastAsia="宋体" w:cs="宋体"/>
                <w:sz w:val="21"/>
                <w:szCs w:val="21"/>
                <w:highlight w:val="none"/>
              </w:rPr>
            </w:pPr>
          </w:p>
          <w:p>
            <w:pPr>
              <w:pStyle w:val="15"/>
              <w:spacing w:before="68" w:line="220" w:lineRule="auto"/>
              <w:ind w:left="106"/>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评分因素</w:t>
            </w:r>
          </w:p>
        </w:tc>
        <w:tc>
          <w:tcPr>
            <w:tcW w:w="600" w:type="dxa"/>
            <w:vAlign w:val="top"/>
          </w:tcPr>
          <w:p>
            <w:pPr>
              <w:spacing w:line="349" w:lineRule="auto"/>
              <w:jc w:val="center"/>
              <w:rPr>
                <w:rFonts w:hint="eastAsia" w:ascii="宋体" w:hAnsi="宋体" w:eastAsia="宋体" w:cs="宋体"/>
                <w:sz w:val="21"/>
                <w:szCs w:val="21"/>
                <w:highlight w:val="none"/>
              </w:rPr>
            </w:pPr>
          </w:p>
          <w:p>
            <w:pPr>
              <w:pStyle w:val="15"/>
              <w:spacing w:before="68" w:line="220" w:lineRule="auto"/>
              <w:ind w:left="111"/>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分值</w:t>
            </w:r>
          </w:p>
        </w:tc>
        <w:tc>
          <w:tcPr>
            <w:tcW w:w="5472" w:type="dxa"/>
            <w:vAlign w:val="top"/>
          </w:tcPr>
          <w:p>
            <w:pPr>
              <w:spacing w:line="349" w:lineRule="auto"/>
              <w:jc w:val="center"/>
              <w:rPr>
                <w:rFonts w:hint="eastAsia" w:ascii="宋体" w:hAnsi="宋体" w:eastAsia="宋体" w:cs="宋体"/>
                <w:sz w:val="21"/>
                <w:szCs w:val="21"/>
                <w:highlight w:val="none"/>
              </w:rPr>
            </w:pPr>
          </w:p>
          <w:p>
            <w:pPr>
              <w:pStyle w:val="15"/>
              <w:spacing w:before="69" w:line="220" w:lineRule="auto"/>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评审细则</w:t>
            </w:r>
          </w:p>
        </w:tc>
        <w:tc>
          <w:tcPr>
            <w:tcW w:w="1866" w:type="dxa"/>
            <w:vAlign w:val="top"/>
          </w:tcPr>
          <w:p>
            <w:pPr>
              <w:pStyle w:val="15"/>
              <w:spacing w:before="69" w:line="220" w:lineRule="auto"/>
              <w:ind w:left="3142"/>
              <w:jc w:val="center"/>
              <w:rPr>
                <w:rFonts w:hint="eastAsia" w:ascii="宋体" w:hAnsi="宋体" w:eastAsia="宋体" w:cs="宋体"/>
                <w:spacing w:val="-2"/>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16" w:type="dxa"/>
            <w:vAlign w:val="center"/>
          </w:tcPr>
          <w:p>
            <w:pPr>
              <w:pStyle w:val="15"/>
              <w:spacing w:before="68" w:line="241"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16" w:type="dxa"/>
            <w:vAlign w:val="center"/>
          </w:tcPr>
          <w:p>
            <w:pPr>
              <w:pStyle w:val="15"/>
              <w:spacing w:before="68" w:line="218" w:lineRule="auto"/>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报价</w:t>
            </w:r>
          </w:p>
        </w:tc>
        <w:tc>
          <w:tcPr>
            <w:tcW w:w="600" w:type="dxa"/>
            <w:vAlign w:val="center"/>
          </w:tcPr>
          <w:p>
            <w:pPr>
              <w:pStyle w:val="15"/>
              <w:spacing w:before="68" w:line="220" w:lineRule="auto"/>
              <w:jc w:val="center"/>
              <w:rPr>
                <w:rFonts w:hint="eastAsia" w:ascii="宋体" w:hAnsi="宋体" w:eastAsia="宋体" w:cs="宋体"/>
                <w:sz w:val="21"/>
                <w:szCs w:val="21"/>
                <w:highlight w:val="none"/>
              </w:rPr>
            </w:pPr>
            <w:r>
              <w:rPr>
                <w:rFonts w:hint="eastAsia" w:ascii="宋体" w:hAnsi="宋体" w:eastAsia="宋体" w:cs="宋体"/>
                <w:spacing w:val="-5"/>
                <w:sz w:val="21"/>
                <w:szCs w:val="21"/>
                <w:highlight w:val="none"/>
                <w:lang w:val="en-US" w:eastAsia="zh-CN"/>
              </w:rPr>
              <w:t>2</w:t>
            </w:r>
            <w:r>
              <w:rPr>
                <w:rFonts w:hint="eastAsia" w:ascii="宋体" w:hAnsi="宋体" w:eastAsia="宋体" w:cs="宋体"/>
                <w:spacing w:val="-5"/>
                <w:sz w:val="21"/>
                <w:szCs w:val="21"/>
                <w:highlight w:val="none"/>
              </w:rPr>
              <w:t>0</w:t>
            </w:r>
            <w:r>
              <w:rPr>
                <w:rFonts w:hint="eastAsia" w:ascii="宋体" w:hAnsi="宋体" w:eastAsia="宋体" w:cs="宋体"/>
                <w:spacing w:val="-33"/>
                <w:sz w:val="21"/>
                <w:szCs w:val="21"/>
                <w:highlight w:val="none"/>
              </w:rPr>
              <w:t xml:space="preserve"> </w:t>
            </w:r>
            <w:r>
              <w:rPr>
                <w:rFonts w:hint="eastAsia" w:ascii="宋体" w:hAnsi="宋体" w:eastAsia="宋体" w:cs="宋体"/>
                <w:spacing w:val="-5"/>
                <w:sz w:val="21"/>
                <w:szCs w:val="21"/>
                <w:highlight w:val="none"/>
              </w:rPr>
              <w:t>分</w:t>
            </w:r>
          </w:p>
        </w:tc>
        <w:tc>
          <w:tcPr>
            <w:tcW w:w="5472" w:type="dxa"/>
            <w:vAlign w:val="top"/>
          </w:tcPr>
          <w:p>
            <w:pPr>
              <w:pStyle w:val="15"/>
              <w:spacing w:before="125" w:line="291" w:lineRule="auto"/>
              <w:ind w:left="110" w:right="183" w:hanging="1"/>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以通过初步审查和报价评审要求的投标人的有效投标报价的算术平均值</w:t>
            </w:r>
          </w:p>
          <w:p>
            <w:pPr>
              <w:pStyle w:val="15"/>
              <w:spacing w:before="125" w:line="291" w:lineRule="auto"/>
              <w:ind w:left="110" w:right="183" w:hanging="1"/>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作为评标基准价E。有效投标报价等于评标基准价E的，得满分20分:有效投标报价每高于评标基准价E一个百分点扣</w:t>
            </w:r>
            <w:r>
              <w:rPr>
                <w:rFonts w:hint="eastAsia" w:ascii="宋体" w:hAnsi="宋体" w:eastAsia="宋体" w:cs="宋体"/>
                <w:sz w:val="21"/>
                <w:szCs w:val="21"/>
                <w:highlight w:val="none"/>
                <w:u w:val="single"/>
                <w:lang w:val="en-US" w:eastAsia="zh-CN"/>
              </w:rPr>
              <w:t>0.2</w:t>
            </w:r>
            <w:r>
              <w:rPr>
                <w:rFonts w:hint="eastAsia" w:ascii="宋体" w:hAnsi="宋体" w:eastAsia="宋体" w:cs="宋体"/>
                <w:sz w:val="21"/>
                <w:szCs w:val="21"/>
                <w:highlight w:val="none"/>
                <w:lang w:val="en-US" w:eastAsia="zh-CN"/>
              </w:rPr>
              <w:t>分:有效投标报价每低于评标基准价E一个百分点扣</w:t>
            </w:r>
            <w:r>
              <w:rPr>
                <w:rFonts w:hint="eastAsia" w:ascii="宋体" w:hAnsi="宋体" w:eastAsia="宋体" w:cs="宋体"/>
                <w:sz w:val="21"/>
                <w:szCs w:val="21"/>
                <w:highlight w:val="none"/>
                <w:u w:val="single"/>
                <w:lang w:val="en-US" w:eastAsia="zh-CN"/>
              </w:rPr>
              <w:t>0.1</w:t>
            </w:r>
            <w:r>
              <w:rPr>
                <w:rFonts w:hint="eastAsia" w:ascii="宋体" w:hAnsi="宋体" w:eastAsia="宋体" w:cs="宋体"/>
                <w:sz w:val="21"/>
                <w:szCs w:val="21"/>
                <w:highlight w:val="none"/>
                <w:lang w:val="en-US" w:eastAsia="zh-CN"/>
              </w:rPr>
              <w:t>分;扣完为止。中间值按比例内插，得分按四舍五入，保留两位小数计算。评标基准价E一经评委会确定，不再因任何情况而改变。</w:t>
            </w:r>
          </w:p>
          <w:p>
            <w:pPr>
              <w:pStyle w:val="15"/>
              <w:spacing w:before="125" w:line="291" w:lineRule="auto"/>
              <w:ind w:left="110" w:right="183" w:hanging="1"/>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有效投标报价得分计算方法如下:</w:t>
            </w:r>
          </w:p>
          <w:p>
            <w:pPr>
              <w:pStyle w:val="15"/>
              <w:spacing w:before="125" w:line="291" w:lineRule="auto"/>
              <w:ind w:left="110" w:right="183" w:hanging="1"/>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有效投标报价高于评标基准价E的，得分=20-[(有效投标报价-评标基准价E)/评标基准价E]*100*0.2。</w:t>
            </w:r>
          </w:p>
          <w:p>
            <w:pPr>
              <w:pStyle w:val="15"/>
              <w:spacing w:before="125" w:line="291" w:lineRule="auto"/>
              <w:ind w:left="110" w:right="183" w:hanging="1"/>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有效投标报价低于评标基准价E的，得分=20-[(评标基准价E-有效技标报价)/评标基准价E]*100*0.1。</w:t>
            </w:r>
          </w:p>
        </w:tc>
        <w:tc>
          <w:tcPr>
            <w:tcW w:w="1866" w:type="dxa"/>
            <w:vAlign w:val="top"/>
          </w:tcPr>
          <w:p>
            <w:pPr>
              <w:pStyle w:val="15"/>
              <w:spacing w:before="125" w:line="291" w:lineRule="auto"/>
              <w:ind w:left="110" w:right="183" w:hanging="1"/>
              <w:jc w:val="both"/>
              <w:rPr>
                <w:rFonts w:hint="eastAsia" w:ascii="宋体" w:hAnsi="宋体" w:eastAsia="宋体" w:cs="宋体"/>
                <w:sz w:val="21"/>
                <w:szCs w:val="21"/>
                <w:highlight w:val="none"/>
              </w:rPr>
            </w:pPr>
          </w:p>
        </w:tc>
      </w:tr>
    </w:tbl>
    <w:p>
      <w:pPr>
        <w:rPr>
          <w:rFonts w:hint="eastAsia" w:ascii="宋体" w:hAnsi="宋体" w:eastAsia="宋体" w:cs="宋体"/>
          <w:sz w:val="21"/>
          <w:szCs w:val="21"/>
          <w:highlight w:val="none"/>
        </w:rPr>
      </w:pPr>
    </w:p>
    <w:p>
      <w:pPr>
        <w:rPr>
          <w:highlight w:val="none"/>
        </w:rPr>
      </w:pPr>
    </w:p>
    <w:p>
      <w:pPr>
        <w:rPr>
          <w:highlight w:val="none"/>
        </w:rPr>
      </w:pPr>
    </w:p>
    <w:p>
      <w:pPr>
        <w:rPr>
          <w:highlight w:val="none"/>
        </w:rPr>
      </w:pPr>
    </w:p>
    <w:p>
      <w:pPr>
        <w:rPr>
          <w:highlight w:val="none"/>
        </w:rPr>
      </w:pPr>
    </w:p>
    <w:p>
      <w:pPr>
        <w:pStyle w:val="5"/>
        <w:spacing w:before="91" w:line="219" w:lineRule="auto"/>
        <w:ind w:left="3152"/>
        <w:outlineLvl w:val="0"/>
        <w:rPr>
          <w:rFonts w:hint="eastAsia" w:eastAsia="宋体"/>
          <w:b/>
          <w:bCs/>
          <w:spacing w:val="-3"/>
          <w:sz w:val="28"/>
          <w:szCs w:val="28"/>
          <w:highlight w:val="none"/>
          <w:lang w:val="en-US" w:eastAsia="zh-CN"/>
        </w:rPr>
      </w:pPr>
    </w:p>
    <w:p>
      <w:pPr>
        <w:pStyle w:val="5"/>
        <w:spacing w:before="91" w:line="219" w:lineRule="auto"/>
        <w:ind w:left="3152"/>
        <w:outlineLvl w:val="0"/>
        <w:rPr>
          <w:rFonts w:hint="eastAsia" w:eastAsia="宋体"/>
          <w:b/>
          <w:bCs/>
          <w:spacing w:val="-3"/>
          <w:sz w:val="28"/>
          <w:szCs w:val="28"/>
          <w:highlight w:val="none"/>
          <w:lang w:val="en-US" w:eastAsia="zh-CN"/>
        </w:rPr>
      </w:pPr>
    </w:p>
    <w:p>
      <w:pPr>
        <w:pStyle w:val="5"/>
        <w:spacing w:before="91" w:line="219" w:lineRule="auto"/>
        <w:outlineLvl w:val="0"/>
        <w:rPr>
          <w:rFonts w:hint="eastAsia" w:eastAsia="宋体"/>
          <w:b/>
          <w:bCs/>
          <w:spacing w:val="-3"/>
          <w:sz w:val="28"/>
          <w:szCs w:val="28"/>
          <w:highlight w:val="none"/>
          <w:lang w:val="en-US" w:eastAsia="zh-CN"/>
        </w:rPr>
      </w:pPr>
    </w:p>
    <w:p>
      <w:pPr>
        <w:pStyle w:val="5"/>
        <w:spacing w:before="91" w:line="219" w:lineRule="auto"/>
        <w:ind w:left="3152"/>
        <w:outlineLvl w:val="0"/>
        <w:rPr>
          <w:rFonts w:hint="eastAsia" w:eastAsia="宋体"/>
          <w:b/>
          <w:bCs/>
          <w:spacing w:val="-3"/>
          <w:sz w:val="28"/>
          <w:szCs w:val="28"/>
          <w:highlight w:val="none"/>
          <w:lang w:val="en-US" w:eastAsia="zh-CN"/>
        </w:rPr>
      </w:pPr>
    </w:p>
    <w:p>
      <w:pPr>
        <w:rPr>
          <w:highlight w:val="none"/>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20" w:lineRule="auto"/>
      <w:ind w:left="3519"/>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40" w:lineRule="auto"/>
      <w:rPr>
        <w:sz w:val="18"/>
        <w:szCs w:val="18"/>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zy6RdkAAAAMAQAADwAAAAAA&#10;AAABACAAAAAiAAAAZHJzL2Rvd25yZXYueG1sUEsBAhQAFAAAAAgAh07iQCDFejASAgAAewQAAA4A&#10;AAAAAAAAAQAgAAAAKAEAAGRycy9lMm9Eb2MueG1sUEsFBgAAAAAGAAYAWQEAAKwFAAAAAA==&#10;" path="m0,0l8305,0,8305,14,0,14,0,0xe">
              <v:fill on="t" focussize="0,0"/>
              <v:stroke on="f"/>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lNGRmZWY4Zjk1YzMyYWU4NzcxZjRiZjhiMDYwMTUifQ=="/>
  </w:docVars>
  <w:rsids>
    <w:rsidRoot w:val="71006024"/>
    <w:rsid w:val="07741229"/>
    <w:rsid w:val="0DDB1A64"/>
    <w:rsid w:val="10C3255D"/>
    <w:rsid w:val="174E114A"/>
    <w:rsid w:val="188504FF"/>
    <w:rsid w:val="19712F36"/>
    <w:rsid w:val="1AE709B1"/>
    <w:rsid w:val="1BEC025E"/>
    <w:rsid w:val="2A652B1C"/>
    <w:rsid w:val="33535743"/>
    <w:rsid w:val="36D01F86"/>
    <w:rsid w:val="384D5AD1"/>
    <w:rsid w:val="3BCA3823"/>
    <w:rsid w:val="41287279"/>
    <w:rsid w:val="44B567CA"/>
    <w:rsid w:val="46692E3A"/>
    <w:rsid w:val="4D1F590A"/>
    <w:rsid w:val="56512C18"/>
    <w:rsid w:val="5D33210E"/>
    <w:rsid w:val="62E03E06"/>
    <w:rsid w:val="630D3276"/>
    <w:rsid w:val="63D8296A"/>
    <w:rsid w:val="66CA25C5"/>
    <w:rsid w:val="6C43773D"/>
    <w:rsid w:val="6D8857B5"/>
    <w:rsid w:val="6F5B1696"/>
    <w:rsid w:val="6F9E5058"/>
    <w:rsid w:val="71006024"/>
    <w:rsid w:val="735168CF"/>
    <w:rsid w:val="76264896"/>
    <w:rsid w:val="7AED7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spacing w:line="500" w:lineRule="exact"/>
      <w:ind w:firstLine="538"/>
    </w:pPr>
    <w:rPr>
      <w:sz w:val="28"/>
    </w:rPr>
  </w:style>
  <w:style w:type="paragraph" w:styleId="4">
    <w:name w:val="List"/>
    <w:basedOn w:val="1"/>
    <w:qFormat/>
    <w:uiPriority w:val="0"/>
    <w:pPr>
      <w:ind w:left="420" w:hanging="420"/>
    </w:pPr>
    <w:rPr>
      <w:rFonts w:ascii="Arial" w:hAnsi="Arial" w:eastAsia="楷体_GB2312"/>
      <w:kern w:val="2"/>
      <w:sz w:val="28"/>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envelope return"/>
    <w:basedOn w:val="1"/>
    <w:next w:val="1"/>
    <w:qFormat/>
    <w:uiPriority w:val="0"/>
    <w:pPr>
      <w:snapToGrid w:val="0"/>
    </w:pPr>
    <w:rPr>
      <w:rFonts w:ascii="Arial" w:hAnsi="Arial"/>
    </w:rPr>
  </w:style>
  <w:style w:type="paragraph" w:styleId="9">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next w:val="1"/>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character" w:styleId="14">
    <w:name w:val="Strong"/>
    <w:basedOn w:val="13"/>
    <w:qFormat/>
    <w:uiPriority w:val="0"/>
    <w:rPr>
      <w:b/>
    </w:rPr>
  </w:style>
  <w:style w:type="paragraph" w:customStyle="1" w:styleId="15">
    <w:name w:val="Table Text"/>
    <w:basedOn w:val="1"/>
    <w:semiHidden/>
    <w:qFormat/>
    <w:uiPriority w:val="0"/>
    <w:rPr>
      <w:rFonts w:ascii="宋体" w:hAnsi="宋体" w:eastAsia="宋体" w:cs="宋体"/>
      <w:sz w:val="21"/>
      <w:szCs w:val="21"/>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D&amp;L"/>
    <w:basedOn w:val="9"/>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18">
    <w:name w:val="xl31"/>
    <w:basedOn w:val="1"/>
    <w:qFormat/>
    <w:uiPriority w:val="0"/>
    <w:pPr>
      <w:widowControl/>
      <w:spacing w:before="100" w:beforeAutospacing="1" w:after="100" w:afterAutospacing="1"/>
      <w:jc w:val="center"/>
    </w:pPr>
    <w:rPr>
      <w:b/>
      <w:bCs/>
      <w:sz w:val="28"/>
      <w:szCs w:val="28"/>
    </w:rPr>
  </w:style>
  <w:style w:type="paragraph" w:customStyle="1" w:styleId="19">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926</Words>
  <Characters>996</Characters>
  <Lines>0</Lines>
  <Paragraphs>0</Paragraphs>
  <TotalTime>53</TotalTime>
  <ScaleCrop>false</ScaleCrop>
  <LinksUpToDate>false</LinksUpToDate>
  <CharactersWithSpaces>1014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2026-07-02T07:46:00Z</dcterms:created>
  <dc:creator>絕版丫頭</dc:creator>
  <cp:lastModifiedBy>七月</cp:lastModifiedBy>
  <dcterms:modified xsi:type="dcterms:W3CDTF">2026-09-01T09:28:14Z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CAAF2B1A007C4BECA7E7E21153E59B13_13</vt:lpwstr>
  </property>
  <property fmtid="{D5CDD505-2E9C-101B-9397-08002B2CF9AE}" pid="4" name="KSOTemplateDocerSaveRecord">
    <vt:lpwstr>eyJoZGlkIjoiMTBiNzliMGJlZTdlOTFkYTNkZWVhMTIwZGRiYjI2MGYiLCJ1c2VySWQiOiI0MzY5NjA0MzcifQ==</vt:lpwstr>
  </property>
</Properties>
</file>