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9081E">
      <w:pPr>
        <w:spacing w:line="360" w:lineRule="auto"/>
        <w:jc w:val="center"/>
        <w:rPr>
          <w:rFonts w:hint="eastAsia" w:ascii="宋体" w:hAnsi="宋体" w:eastAsia="宋体" w:cs="宋体"/>
          <w:b/>
          <w:sz w:val="32"/>
          <w:szCs w:val="32"/>
        </w:rPr>
      </w:pPr>
      <w:r>
        <w:rPr>
          <w:rFonts w:hint="eastAsia" w:ascii="宋体" w:hAnsi="宋体" w:eastAsia="宋体" w:cs="宋体"/>
          <w:b/>
          <w:sz w:val="32"/>
          <w:szCs w:val="32"/>
          <w:lang w:bidi="ar"/>
        </w:rPr>
        <w:t>综合评分表</w:t>
      </w:r>
    </w:p>
    <w:tbl>
      <w:tblPr>
        <w:tblStyle w:val="13"/>
        <w:tblW w:w="9071"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1276"/>
        <w:gridCol w:w="5103"/>
        <w:gridCol w:w="1276"/>
      </w:tblGrid>
      <w:tr w14:paraId="5918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416" w:type="dxa"/>
            <w:tcBorders>
              <w:top w:val="single" w:color="auto" w:sz="4" w:space="0"/>
              <w:left w:val="single" w:color="auto" w:sz="4" w:space="0"/>
              <w:bottom w:val="single" w:color="auto" w:sz="4" w:space="0"/>
              <w:right w:val="single" w:color="auto" w:sz="4" w:space="0"/>
            </w:tcBorders>
            <w:vAlign w:val="center"/>
          </w:tcPr>
          <w:p w14:paraId="06D3881E">
            <w:pPr>
              <w:jc w:val="center"/>
              <w:rPr>
                <w:rFonts w:hint="eastAsia" w:ascii="宋体" w:hAnsi="宋体" w:eastAsia="宋体" w:cs="宋体"/>
                <w:b/>
                <w:sz w:val="24"/>
              </w:rPr>
            </w:pPr>
            <w:r>
              <w:rPr>
                <w:rFonts w:hint="eastAsia" w:ascii="宋体" w:hAnsi="宋体" w:eastAsia="宋体" w:cs="宋体"/>
                <w:b/>
                <w:sz w:val="24"/>
                <w:lang w:bidi="ar"/>
              </w:rPr>
              <w:t>指标</w:t>
            </w:r>
          </w:p>
        </w:tc>
        <w:tc>
          <w:tcPr>
            <w:tcW w:w="6379" w:type="dxa"/>
            <w:gridSpan w:val="2"/>
            <w:tcBorders>
              <w:top w:val="single" w:color="auto" w:sz="4" w:space="0"/>
              <w:left w:val="single" w:color="auto" w:sz="4" w:space="0"/>
              <w:bottom w:val="single" w:color="auto" w:sz="4" w:space="0"/>
              <w:right w:val="single" w:color="auto" w:sz="4" w:space="0"/>
            </w:tcBorders>
            <w:vAlign w:val="center"/>
          </w:tcPr>
          <w:p w14:paraId="321BFAB2">
            <w:pPr>
              <w:jc w:val="center"/>
              <w:rPr>
                <w:rFonts w:hint="eastAsia" w:ascii="宋体" w:hAnsi="宋体" w:eastAsia="宋体" w:cs="宋体"/>
                <w:b/>
                <w:sz w:val="24"/>
              </w:rPr>
            </w:pPr>
            <w:r>
              <w:rPr>
                <w:rFonts w:hint="eastAsia" w:ascii="宋体" w:hAnsi="宋体" w:eastAsia="宋体" w:cs="宋体"/>
                <w:b/>
                <w:sz w:val="24"/>
              </w:rPr>
              <w:t>指标描述</w:t>
            </w:r>
          </w:p>
        </w:tc>
        <w:tc>
          <w:tcPr>
            <w:tcW w:w="1276" w:type="dxa"/>
            <w:tcBorders>
              <w:top w:val="single" w:color="auto" w:sz="4" w:space="0"/>
              <w:left w:val="single" w:color="auto" w:sz="4" w:space="0"/>
              <w:bottom w:val="single" w:color="auto" w:sz="4" w:space="0"/>
              <w:right w:val="single" w:color="auto" w:sz="4" w:space="0"/>
            </w:tcBorders>
            <w:vAlign w:val="center"/>
          </w:tcPr>
          <w:p w14:paraId="5A6B0D56">
            <w:pPr>
              <w:jc w:val="center"/>
              <w:rPr>
                <w:rFonts w:hint="eastAsia" w:ascii="宋体" w:hAnsi="宋体" w:eastAsia="宋体" w:cs="宋体"/>
                <w:b/>
                <w:sz w:val="24"/>
              </w:rPr>
            </w:pPr>
            <w:r>
              <w:rPr>
                <w:rFonts w:hint="eastAsia" w:ascii="宋体" w:hAnsi="宋体" w:eastAsia="宋体" w:cs="宋体"/>
                <w:b/>
                <w:color w:val="000000"/>
                <w:sz w:val="24"/>
                <w:lang w:bidi="ar"/>
              </w:rPr>
              <w:t>分值范围</w:t>
            </w:r>
          </w:p>
        </w:tc>
      </w:tr>
      <w:tr w14:paraId="5ECB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restart"/>
            <w:tcBorders>
              <w:top w:val="single" w:color="auto" w:sz="4" w:space="0"/>
              <w:left w:val="single" w:color="auto" w:sz="4" w:space="0"/>
              <w:bottom w:val="single" w:color="auto" w:sz="4" w:space="0"/>
              <w:right w:val="single" w:color="auto" w:sz="4" w:space="0"/>
            </w:tcBorders>
            <w:vAlign w:val="center"/>
          </w:tcPr>
          <w:p w14:paraId="63112D9D">
            <w:pPr>
              <w:jc w:val="center"/>
              <w:rPr>
                <w:rFonts w:hint="eastAsia" w:ascii="宋体" w:hAnsi="宋体" w:eastAsia="宋体" w:cs="宋体"/>
                <w:bCs/>
                <w:sz w:val="24"/>
                <w:lang w:bidi="ar"/>
              </w:rPr>
            </w:pPr>
            <w:r>
              <w:rPr>
                <w:rFonts w:hint="eastAsia" w:ascii="宋体" w:hAnsi="宋体" w:eastAsia="宋体" w:cs="宋体"/>
                <w:bCs/>
                <w:sz w:val="24"/>
                <w:lang w:bidi="ar"/>
              </w:rPr>
              <w:t>技术资信分</w:t>
            </w:r>
          </w:p>
          <w:p w14:paraId="05BE8B92">
            <w:pPr>
              <w:jc w:val="center"/>
              <w:rPr>
                <w:rFonts w:hint="eastAsia" w:ascii="宋体" w:hAnsi="宋体" w:eastAsia="宋体" w:cs="宋体"/>
                <w:bCs/>
                <w:sz w:val="24"/>
              </w:rPr>
            </w:pPr>
            <w:r>
              <w:rPr>
                <w:rFonts w:hint="eastAsia" w:ascii="宋体" w:hAnsi="宋体" w:eastAsia="宋体" w:cs="宋体"/>
                <w:bCs/>
                <w:sz w:val="24"/>
                <w:lang w:bidi="ar"/>
              </w:rPr>
              <w:t>（</w:t>
            </w:r>
            <w:r>
              <w:rPr>
                <w:rFonts w:hint="eastAsia" w:ascii="宋体" w:hAnsi="宋体" w:eastAsia="宋体" w:cs="宋体"/>
                <w:bCs/>
                <w:sz w:val="24"/>
                <w:u w:val="single"/>
                <w:lang w:bidi="ar"/>
              </w:rPr>
              <w:t xml:space="preserve"> 70 </w:t>
            </w:r>
            <w:r>
              <w:rPr>
                <w:rFonts w:hint="eastAsia" w:ascii="宋体" w:hAnsi="宋体" w:eastAsia="宋体" w:cs="宋体"/>
                <w:bCs/>
                <w:sz w:val="24"/>
                <w:lang w:bidi="ar"/>
              </w:rPr>
              <w:t>分）</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8DA47B0">
            <w:pPr>
              <w:widowControl/>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sz w:val="24"/>
                <w:lang w:val="en-US" w:eastAsia="zh-CN"/>
              </w:rPr>
              <w:t>投标人</w:t>
            </w:r>
            <w:r>
              <w:rPr>
                <w:rFonts w:hint="eastAsia" w:ascii="宋体" w:hAnsi="宋体" w:eastAsia="宋体" w:cs="宋体"/>
                <w:bCs/>
                <w:color w:val="000000"/>
                <w:sz w:val="24"/>
              </w:rPr>
              <w:t>业绩</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14:paraId="75CA778C">
            <w:pPr>
              <w:widowControl/>
              <w:rPr>
                <w:rFonts w:hint="eastAsia" w:ascii="宋体" w:hAnsi="宋体" w:eastAsia="宋体" w:cs="宋体"/>
                <w:bCs/>
                <w:color w:val="000000"/>
                <w:sz w:val="24"/>
              </w:rPr>
            </w:pPr>
            <w:r>
              <w:rPr>
                <w:rFonts w:hint="eastAsia" w:ascii="宋体" w:hAnsi="宋体" w:eastAsia="宋体" w:cs="宋体"/>
                <w:bCs/>
                <w:color w:val="000000"/>
                <w:sz w:val="24"/>
              </w:rPr>
              <w:t>2023年1月1日以来（以合同签订时间为准）</w:t>
            </w:r>
            <w:r>
              <w:rPr>
                <w:rFonts w:hint="eastAsia" w:ascii="宋体" w:hAnsi="宋体" w:eastAsia="宋体" w:cs="宋体"/>
                <w:bCs/>
                <w:color w:val="000000"/>
                <w:sz w:val="24"/>
                <w:lang w:eastAsia="zh-CN"/>
              </w:rPr>
              <w:t>，</w:t>
            </w:r>
            <w:r>
              <w:rPr>
                <w:rFonts w:hint="eastAsia" w:ascii="宋体" w:hAnsi="宋体" w:eastAsia="宋体" w:cs="宋体"/>
                <w:bCs/>
                <w:color w:val="000000"/>
                <w:sz w:val="24"/>
              </w:rPr>
              <w:t>投标人</w:t>
            </w:r>
            <w:r>
              <w:rPr>
                <w:rFonts w:hint="eastAsia" w:ascii="宋体" w:hAnsi="宋体" w:eastAsia="宋体" w:cs="宋体"/>
                <w:bCs/>
                <w:color w:val="000000"/>
                <w:sz w:val="24"/>
                <w:lang w:val="en-US" w:eastAsia="zh-CN"/>
              </w:rPr>
              <w:t>具有类似教学模型供货业绩</w:t>
            </w:r>
            <w:r>
              <w:rPr>
                <w:rFonts w:hint="eastAsia" w:ascii="宋体" w:hAnsi="宋体" w:eastAsia="宋体" w:cs="宋体"/>
                <w:bCs/>
                <w:color w:val="000000"/>
                <w:sz w:val="24"/>
              </w:rPr>
              <w:t>，每提供一份业绩合同得</w:t>
            </w:r>
            <w:r>
              <w:rPr>
                <w:rFonts w:hint="eastAsia" w:ascii="宋体" w:hAnsi="宋体" w:eastAsia="宋体" w:cs="宋体"/>
                <w:bCs/>
                <w:color w:val="000000"/>
                <w:sz w:val="24"/>
                <w:lang w:val="en-US" w:eastAsia="zh-CN"/>
              </w:rPr>
              <w:t>2</w:t>
            </w:r>
            <w:r>
              <w:rPr>
                <w:rFonts w:hint="eastAsia" w:ascii="宋体" w:hAnsi="宋体" w:eastAsia="宋体" w:cs="宋体"/>
                <w:bCs/>
                <w:color w:val="000000"/>
                <w:sz w:val="24"/>
              </w:rPr>
              <w:t>分，满分</w:t>
            </w:r>
            <w:r>
              <w:rPr>
                <w:rFonts w:hint="eastAsia" w:ascii="宋体" w:hAnsi="宋体" w:eastAsia="宋体" w:cs="宋体"/>
                <w:bCs/>
                <w:color w:val="000000"/>
                <w:sz w:val="24"/>
                <w:lang w:val="en-US" w:eastAsia="zh-CN"/>
              </w:rPr>
              <w:t>6</w:t>
            </w:r>
            <w:r>
              <w:rPr>
                <w:rFonts w:hint="eastAsia" w:ascii="宋体" w:hAnsi="宋体" w:eastAsia="宋体" w:cs="宋体"/>
                <w:bCs/>
                <w:color w:val="000000"/>
                <w:sz w:val="24"/>
              </w:rPr>
              <w:t>分。</w:t>
            </w:r>
          </w:p>
          <w:p w14:paraId="1F2430DC">
            <w:pPr>
              <w:widowControl/>
              <w:rPr>
                <w:rFonts w:hint="eastAsia" w:ascii="宋体" w:hAnsi="宋体" w:eastAsia="宋体" w:cs="宋体"/>
                <w:bCs/>
                <w:color w:val="000000"/>
                <w:sz w:val="24"/>
              </w:rPr>
            </w:pPr>
            <w:r>
              <w:rPr>
                <w:rFonts w:hint="eastAsia" w:ascii="宋体" w:hAnsi="宋体" w:eastAsia="宋体" w:cs="宋体"/>
                <w:bCs/>
                <w:color w:val="000000"/>
                <w:sz w:val="24"/>
              </w:rPr>
              <w:t>注：</w:t>
            </w:r>
          </w:p>
          <w:p w14:paraId="17B087BD">
            <w:pPr>
              <w:widowControl/>
              <w:rPr>
                <w:rFonts w:hint="eastAsia" w:ascii="宋体" w:hAnsi="宋体" w:eastAsia="宋体" w:cs="宋体"/>
                <w:bCs/>
                <w:color w:val="000000"/>
                <w:sz w:val="24"/>
              </w:rPr>
            </w:pPr>
            <w:r>
              <w:rPr>
                <w:rFonts w:hint="eastAsia" w:ascii="宋体" w:hAnsi="宋体" w:eastAsia="宋体" w:cs="宋体"/>
                <w:bCs/>
                <w:color w:val="000000"/>
                <w:sz w:val="24"/>
                <w:lang w:val="en-US" w:eastAsia="zh-CN"/>
              </w:rPr>
              <w:t>(1)</w:t>
            </w:r>
            <w:r>
              <w:rPr>
                <w:rFonts w:hint="eastAsia" w:ascii="宋体" w:hAnsi="宋体" w:eastAsia="宋体" w:cs="宋体"/>
                <w:bCs/>
                <w:color w:val="000000"/>
                <w:sz w:val="24"/>
              </w:rPr>
              <w:t xml:space="preserve">投标文件中提供业绩合同扫描件，若合同中无法体现产品品牌、合同签订时间等关键评审因素的，须同时提供业主（合同甲方）盖章的证明材料，否则不得分。 </w:t>
            </w:r>
          </w:p>
          <w:p w14:paraId="369EDECF">
            <w:pPr>
              <w:widowControl/>
              <w:rPr>
                <w:rFonts w:hint="eastAsia" w:ascii="宋体" w:hAnsi="宋体" w:eastAsia="宋体" w:cs="宋体"/>
                <w:bCs/>
                <w:color w:val="000000"/>
                <w:sz w:val="24"/>
                <w:lang w:val="en-US" w:eastAsia="zh-CN"/>
              </w:rPr>
            </w:pPr>
            <w:r>
              <w:rPr>
                <w:rFonts w:hint="eastAsia" w:ascii="宋体" w:hAnsi="宋体" w:eastAsia="宋体" w:cs="宋体"/>
                <w:bCs/>
                <w:color w:val="000000"/>
                <w:sz w:val="24"/>
              </w:rPr>
              <w:t>（2）业绩系指</w:t>
            </w:r>
            <w:r>
              <w:rPr>
                <w:rFonts w:hint="eastAsia" w:ascii="宋体" w:hAnsi="宋体" w:eastAsia="宋体" w:cs="宋体"/>
                <w:bCs/>
                <w:color w:val="000000"/>
                <w:sz w:val="24"/>
                <w:lang w:val="en-US" w:eastAsia="zh-CN"/>
              </w:rPr>
              <w:t>投标公司</w:t>
            </w:r>
            <w:r>
              <w:rPr>
                <w:rFonts w:hint="eastAsia" w:ascii="宋体" w:hAnsi="宋体" w:eastAsia="宋体" w:cs="宋体"/>
                <w:bCs/>
                <w:color w:val="000000"/>
                <w:sz w:val="24"/>
              </w:rPr>
              <w:t>与最终用户签订的合同。投标人与其关联公司（如母公司、分公司、子公司等）之间签订的合同，代理商之间签订的合同等均不予认可。</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48A8E68">
            <w:pPr>
              <w:jc w:val="center"/>
              <w:rPr>
                <w:rFonts w:hint="eastAsia" w:ascii="宋体" w:hAnsi="宋体" w:eastAsia="宋体" w:cs="宋体"/>
                <w:bCs/>
                <w:kern w:val="2"/>
                <w:sz w:val="24"/>
                <w:szCs w:val="24"/>
                <w:lang w:val="en-US" w:eastAsia="zh-CN" w:bidi="ar-SA"/>
              </w:rPr>
            </w:pPr>
            <w:r>
              <w:rPr>
                <w:rFonts w:hint="eastAsia" w:ascii="宋体" w:hAnsi="宋体" w:eastAsia="宋体" w:cs="宋体"/>
                <w:bCs/>
                <w:sz w:val="24"/>
                <w:lang w:bidi="ar"/>
              </w:rPr>
              <w:t>0-</w:t>
            </w:r>
            <w:r>
              <w:rPr>
                <w:rFonts w:hint="eastAsia" w:ascii="宋体" w:hAnsi="宋体" w:eastAsia="宋体" w:cs="宋体"/>
                <w:bCs/>
                <w:sz w:val="24"/>
                <w:lang w:val="en-US" w:eastAsia="zh-CN" w:bidi="ar"/>
              </w:rPr>
              <w:t>6</w:t>
            </w:r>
          </w:p>
        </w:tc>
      </w:tr>
      <w:tr w14:paraId="05A9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tcBorders>
              <w:left w:val="single" w:color="auto" w:sz="4" w:space="0"/>
              <w:right w:val="single" w:color="auto" w:sz="4" w:space="0"/>
            </w:tcBorders>
            <w:vAlign w:val="center"/>
          </w:tcPr>
          <w:p w14:paraId="2AB78440">
            <w:pPr>
              <w:jc w:val="center"/>
              <w:rPr>
                <w:rFonts w:hint="eastAsia" w:ascii="宋体" w:hAnsi="宋体" w:eastAsia="宋体" w:cs="宋体"/>
                <w:bCs/>
                <w:sz w:val="24"/>
                <w:lang w:bidi="ar"/>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57A98BD">
            <w:pPr>
              <w:rPr>
                <w:rFonts w:hint="eastAsia" w:ascii="宋体" w:hAnsi="宋体" w:eastAsia="宋体" w:cs="宋体"/>
                <w:bCs/>
                <w:kern w:val="2"/>
                <w:sz w:val="24"/>
                <w:szCs w:val="24"/>
                <w:lang w:val="en-US" w:eastAsia="zh-CN" w:bidi="ar-SA"/>
              </w:rPr>
            </w:pPr>
            <w:r>
              <w:rPr>
                <w:rFonts w:hint="eastAsia" w:ascii="宋体" w:hAnsi="宋体" w:eastAsia="宋体" w:cs="宋体"/>
                <w:bCs/>
                <w:sz w:val="24"/>
              </w:rPr>
              <w:t>技术参数</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top"/>
          </w:tcPr>
          <w:p w14:paraId="68EE1D4A">
            <w:pPr>
              <w:rPr>
                <w:rFonts w:hint="eastAsia" w:ascii="宋体" w:hAnsi="宋体" w:eastAsia="宋体" w:cs="宋体"/>
                <w:bCs/>
                <w:sz w:val="24"/>
              </w:rPr>
            </w:pPr>
            <w:r>
              <w:rPr>
                <w:rFonts w:hint="eastAsia" w:ascii="宋体" w:hAnsi="宋体" w:eastAsia="宋体" w:cs="宋体"/>
                <w:bCs/>
                <w:sz w:val="24"/>
              </w:rPr>
              <w:t xml:space="preserve">（一）标★技术参数: </w:t>
            </w:r>
          </w:p>
          <w:p w14:paraId="5D599C6A">
            <w:pPr>
              <w:rPr>
                <w:rFonts w:hint="eastAsia" w:ascii="宋体" w:hAnsi="宋体" w:eastAsia="宋体" w:cs="宋体"/>
                <w:bCs/>
                <w:sz w:val="24"/>
              </w:rPr>
            </w:pPr>
            <w:r>
              <w:rPr>
                <w:rFonts w:hint="eastAsia" w:ascii="宋体" w:hAnsi="宋体" w:eastAsia="宋体" w:cs="宋体"/>
                <w:bCs/>
                <w:sz w:val="24"/>
              </w:rPr>
              <w:t xml:space="preserve">不允许负偏离，如出现负偏离视为技术参数不响应，作无效标处理。 </w:t>
            </w:r>
          </w:p>
          <w:p w14:paraId="0AAA2227">
            <w:pPr>
              <w:rPr>
                <w:rFonts w:hint="eastAsia" w:ascii="宋体" w:hAnsi="宋体" w:eastAsia="宋体" w:cs="宋体"/>
                <w:bCs/>
                <w:sz w:val="24"/>
              </w:rPr>
            </w:pPr>
            <w:r>
              <w:rPr>
                <w:rFonts w:hint="eastAsia" w:ascii="宋体" w:hAnsi="宋体" w:eastAsia="宋体" w:cs="宋体"/>
                <w:bCs/>
                <w:sz w:val="24"/>
              </w:rPr>
              <w:t>（二）重要参数（标记“</w:t>
            </w:r>
            <w:r>
              <w:rPr>
                <w:rFonts w:hint="eastAsia" w:ascii="仿宋_GB2312" w:hAnsi="Courier New" w:eastAsia="仿宋_GB2312"/>
                <w:b/>
                <w:bCs/>
                <w:sz w:val="24"/>
                <w:szCs w:val="30"/>
              </w:rPr>
              <w:t>●</w:t>
            </w:r>
            <w:r>
              <w:rPr>
                <w:rFonts w:hint="eastAsia" w:ascii="宋体" w:hAnsi="宋体" w:eastAsia="宋体" w:cs="宋体"/>
                <w:bCs/>
                <w:sz w:val="24"/>
              </w:rPr>
              <w:t>”的技术参数）:</w:t>
            </w:r>
          </w:p>
          <w:p w14:paraId="0D76E08A">
            <w:pPr>
              <w:rPr>
                <w:rFonts w:hint="eastAsia" w:ascii="宋体" w:hAnsi="宋体" w:eastAsia="宋体" w:cs="宋体"/>
                <w:bCs/>
                <w:sz w:val="24"/>
              </w:rPr>
            </w:pPr>
            <w:r>
              <w:rPr>
                <w:rFonts w:hint="eastAsia" w:ascii="宋体" w:hAnsi="宋体" w:eastAsia="宋体" w:cs="宋体"/>
                <w:bCs/>
                <w:sz w:val="24"/>
              </w:rPr>
              <w:t>各项性能指标全部满足招标文件要求且按要求提供证明材料的</w:t>
            </w:r>
            <w:r>
              <w:rPr>
                <w:rFonts w:hint="eastAsia" w:ascii="宋体" w:hAnsi="宋体" w:eastAsia="宋体" w:cs="宋体"/>
                <w:bCs/>
                <w:sz w:val="24"/>
                <w:lang w:eastAsia="zh-CN"/>
              </w:rPr>
              <w:t>，</w:t>
            </w:r>
            <w:r>
              <w:rPr>
                <w:rFonts w:hint="eastAsia" w:ascii="宋体" w:hAnsi="宋体" w:eastAsia="宋体" w:cs="宋体"/>
                <w:bCs/>
                <w:sz w:val="24"/>
                <w:lang w:val="en-US" w:eastAsia="zh-CN"/>
              </w:rPr>
              <w:t>每满足一项得3分，满分30分</w:t>
            </w:r>
            <w:r>
              <w:rPr>
                <w:rFonts w:hint="eastAsia" w:ascii="宋体" w:hAnsi="宋体" w:eastAsia="宋体" w:cs="宋体"/>
                <w:bCs/>
                <w:sz w:val="24"/>
              </w:rPr>
              <w:t>。</w:t>
            </w:r>
          </w:p>
          <w:p w14:paraId="6EE9A44A">
            <w:pPr>
              <w:rPr>
                <w:rFonts w:hint="eastAsia" w:ascii="宋体" w:hAnsi="宋体" w:eastAsia="宋体" w:cs="宋体"/>
                <w:bCs/>
                <w:sz w:val="24"/>
              </w:rPr>
            </w:pPr>
            <w:r>
              <w:rPr>
                <w:rFonts w:hint="eastAsia" w:ascii="宋体" w:hAnsi="宋体" w:eastAsia="宋体" w:cs="宋体"/>
                <w:bCs/>
                <w:sz w:val="24"/>
              </w:rPr>
              <w:t>（三）其他技术参数（未标记“★”和“</w:t>
            </w:r>
            <w:r>
              <w:rPr>
                <w:rFonts w:hint="eastAsia" w:ascii="仿宋_GB2312" w:hAnsi="Courier New" w:eastAsia="仿宋_GB2312"/>
                <w:b/>
                <w:bCs/>
                <w:sz w:val="24"/>
                <w:szCs w:val="30"/>
              </w:rPr>
              <w:t>●</w:t>
            </w:r>
            <w:r>
              <w:rPr>
                <w:rFonts w:hint="eastAsia" w:ascii="宋体" w:hAnsi="宋体" w:eastAsia="宋体" w:cs="宋体"/>
                <w:bCs/>
                <w:sz w:val="24"/>
              </w:rPr>
              <w:t>”的技术参数）</w:t>
            </w:r>
            <w:r>
              <w:rPr>
                <w:rFonts w:hint="eastAsia" w:ascii="宋体" w:hAnsi="宋体" w:eastAsia="宋体" w:cs="宋体"/>
                <w:bCs/>
                <w:sz w:val="24"/>
              </w:rPr>
              <w:t>符合性检查，有5条及以上未响应或负偏离的，将导致投标无效。</w:t>
            </w:r>
          </w:p>
          <w:p w14:paraId="09956DE5">
            <w:pPr>
              <w:rPr>
                <w:rFonts w:hint="eastAsia" w:ascii="宋体" w:hAnsi="宋体" w:eastAsia="宋体" w:cs="宋体"/>
                <w:bCs/>
                <w:sz w:val="24"/>
              </w:rPr>
            </w:pPr>
            <w:r>
              <w:rPr>
                <w:rFonts w:hint="eastAsia" w:ascii="宋体" w:hAnsi="宋体" w:eastAsia="宋体" w:cs="宋体"/>
                <w:bCs/>
                <w:sz w:val="24"/>
              </w:rPr>
              <w:t>注：</w:t>
            </w:r>
          </w:p>
          <w:p w14:paraId="58395B4E">
            <w:pPr>
              <w:rPr>
                <w:rFonts w:hint="eastAsia" w:ascii="宋体" w:hAnsi="宋体" w:eastAsia="宋体" w:cs="宋体"/>
                <w:bCs/>
                <w:kern w:val="2"/>
                <w:sz w:val="24"/>
                <w:szCs w:val="24"/>
                <w:lang w:val="en-US" w:eastAsia="zh-CN" w:bidi="ar-SA"/>
              </w:rPr>
            </w:pPr>
            <w:r>
              <w:rPr>
                <w:rFonts w:hint="eastAsia" w:ascii="宋体" w:hAnsi="宋体" w:eastAsia="宋体" w:cs="宋体"/>
                <w:bCs/>
                <w:sz w:val="24"/>
              </w:rPr>
              <w:t>未按招标文件要求提供证明材料的视同偏离按项扣分（以投标文件中提供的投标响应表及采购需求中要求提供的相应证明材料作为评审依据。建议投标人对相应内容在证明材料中进行逐一标注，以方便评委会评审）。</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7312F15">
            <w:pPr>
              <w:jc w:val="center"/>
              <w:rPr>
                <w:rFonts w:hint="default" w:ascii="宋体" w:hAnsi="宋体" w:eastAsia="宋体" w:cs="宋体"/>
                <w:bCs/>
                <w:kern w:val="2"/>
                <w:sz w:val="24"/>
                <w:szCs w:val="24"/>
                <w:lang w:val="en-US" w:eastAsia="zh-CN" w:bidi="ar-SA"/>
              </w:rPr>
            </w:pPr>
            <w:r>
              <w:rPr>
                <w:rFonts w:hint="eastAsia" w:ascii="宋体" w:hAnsi="宋体" w:eastAsia="宋体" w:cs="宋体"/>
                <w:bCs/>
                <w:sz w:val="24"/>
                <w:lang w:bidi="ar"/>
              </w:rPr>
              <w:t>0-</w:t>
            </w:r>
            <w:r>
              <w:rPr>
                <w:rFonts w:hint="eastAsia" w:ascii="宋体" w:hAnsi="宋体" w:eastAsia="宋体" w:cs="宋体"/>
                <w:bCs/>
                <w:sz w:val="24"/>
                <w:lang w:val="en-US" w:eastAsia="zh-CN" w:bidi="ar"/>
              </w:rPr>
              <w:t>30</w:t>
            </w:r>
          </w:p>
        </w:tc>
      </w:tr>
      <w:tr w14:paraId="5C76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tcBorders>
              <w:left w:val="single" w:color="auto" w:sz="4" w:space="0"/>
              <w:right w:val="single" w:color="auto" w:sz="4" w:space="0"/>
            </w:tcBorders>
            <w:vAlign w:val="center"/>
          </w:tcPr>
          <w:p w14:paraId="2ADE95B8">
            <w:pPr>
              <w:jc w:val="center"/>
              <w:rPr>
                <w:rFonts w:hint="eastAsia" w:ascii="宋体" w:hAnsi="宋体" w:eastAsia="宋体" w:cs="宋体"/>
                <w:bCs/>
                <w:sz w:val="24"/>
                <w:lang w:bidi="ar"/>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6292B9D">
            <w:pPr>
              <w:jc w:val="left"/>
              <w:rPr>
                <w:rFonts w:hint="default" w:ascii="宋体" w:hAnsi="宋体" w:eastAsia="宋体" w:cs="宋体"/>
                <w:bCs/>
                <w:sz w:val="24"/>
                <w:lang w:val="en-US" w:eastAsia="zh-CN"/>
              </w:rPr>
            </w:pPr>
            <w:r>
              <w:rPr>
                <w:rFonts w:hint="eastAsia" w:ascii="宋体" w:hAnsi="宋体" w:eastAsia="宋体" w:cs="宋体"/>
                <w:bCs/>
                <w:sz w:val="24"/>
                <w:lang w:val="en-US" w:eastAsia="zh-CN"/>
              </w:rPr>
              <w:t>厂家综合实力</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top"/>
          </w:tcPr>
          <w:p w14:paraId="72A26A59">
            <w:pPr>
              <w:jc w:val="left"/>
              <w:rPr>
                <w:rFonts w:hint="default" w:ascii="宋体" w:hAnsi="宋体" w:eastAsia="宋体" w:cs="宋体"/>
                <w:bCs/>
                <w:sz w:val="24"/>
                <w:lang w:val="en-US"/>
              </w:rPr>
            </w:pPr>
            <w:r>
              <w:rPr>
                <w:rFonts w:hint="eastAsia" w:ascii="宋体" w:hAnsi="宋体" w:eastAsia="宋体" w:cs="宋体"/>
                <w:bCs/>
                <w:sz w:val="24"/>
                <w:lang w:val="en-US" w:eastAsia="zh-CN"/>
              </w:rPr>
              <w:t xml:space="preserve">为保证所供产品质量、产品性能稳定及售后服务，生产厂家须具有ISO9001 质量体系认证证书、ISO14001 环境管理体系认证证书、售后服务（五星级)证书、ISO45001职业健康安全管理体系认证证书；每提供一个证书得1分。 </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BA66815">
            <w:pPr>
              <w:jc w:val="center"/>
              <w:rPr>
                <w:rFonts w:hint="default" w:ascii="宋体" w:hAnsi="宋体" w:eastAsia="宋体" w:cs="宋体"/>
                <w:bCs/>
                <w:sz w:val="24"/>
                <w:lang w:val="en-US" w:eastAsia="zh-CN" w:bidi="ar"/>
              </w:rPr>
            </w:pPr>
            <w:r>
              <w:rPr>
                <w:rFonts w:hint="eastAsia" w:ascii="宋体" w:hAnsi="宋体" w:eastAsia="宋体" w:cs="宋体"/>
                <w:bCs/>
                <w:sz w:val="24"/>
                <w:lang w:val="en-US" w:eastAsia="zh-CN" w:bidi="ar"/>
              </w:rPr>
              <w:t>0-4</w:t>
            </w:r>
          </w:p>
        </w:tc>
      </w:tr>
      <w:tr w14:paraId="1834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tcBorders>
              <w:left w:val="single" w:color="auto" w:sz="4" w:space="0"/>
              <w:right w:val="single" w:color="auto" w:sz="4" w:space="0"/>
            </w:tcBorders>
            <w:vAlign w:val="center"/>
          </w:tcPr>
          <w:p w14:paraId="6D2AEA77">
            <w:pPr>
              <w:jc w:val="center"/>
              <w:rPr>
                <w:rFonts w:hint="eastAsia" w:ascii="宋体" w:hAnsi="宋体" w:eastAsia="宋体" w:cs="宋体"/>
                <w:bCs/>
                <w:sz w:val="24"/>
                <w:lang w:bidi="ar"/>
              </w:rPr>
            </w:pPr>
          </w:p>
        </w:tc>
        <w:tc>
          <w:tcPr>
            <w:tcW w:w="1276" w:type="dxa"/>
            <w:tcBorders>
              <w:top w:val="single" w:color="auto" w:sz="4" w:space="0"/>
              <w:left w:val="single" w:color="auto" w:sz="4" w:space="0"/>
              <w:bottom w:val="single" w:color="auto" w:sz="4" w:space="0"/>
              <w:right w:val="single" w:color="auto" w:sz="4" w:space="0"/>
            </w:tcBorders>
            <w:vAlign w:val="center"/>
          </w:tcPr>
          <w:p w14:paraId="1E846748">
            <w:pPr>
              <w:jc w:val="left"/>
              <w:rPr>
                <w:rFonts w:hint="eastAsia" w:ascii="宋体" w:hAnsi="宋体" w:eastAsia="宋体" w:cs="宋体"/>
                <w:bCs/>
                <w:sz w:val="24"/>
              </w:rPr>
            </w:pPr>
            <w:r>
              <w:rPr>
                <w:rFonts w:hint="eastAsia" w:ascii="宋体" w:hAnsi="宋体" w:eastAsia="宋体" w:cs="宋体"/>
                <w:bCs/>
                <w:sz w:val="24"/>
              </w:rPr>
              <w:t>售后服务方案</w:t>
            </w:r>
          </w:p>
        </w:tc>
        <w:tc>
          <w:tcPr>
            <w:tcW w:w="5103" w:type="dxa"/>
            <w:tcBorders>
              <w:top w:val="single" w:color="auto" w:sz="4" w:space="0"/>
              <w:left w:val="single" w:color="auto" w:sz="4" w:space="0"/>
              <w:bottom w:val="single" w:color="auto" w:sz="4" w:space="0"/>
              <w:right w:val="single" w:color="auto" w:sz="4" w:space="0"/>
            </w:tcBorders>
            <w:vAlign w:val="center"/>
          </w:tcPr>
          <w:p w14:paraId="7D03196C">
            <w:pPr>
              <w:rPr>
                <w:rFonts w:hint="eastAsia" w:ascii="宋体" w:hAnsi="宋体" w:eastAsia="宋体" w:cs="宋体"/>
                <w:bCs/>
                <w:sz w:val="24"/>
              </w:rPr>
            </w:pPr>
            <w:r>
              <w:rPr>
                <w:rFonts w:hint="eastAsia" w:ascii="宋体" w:hAnsi="宋体" w:eastAsia="宋体" w:cs="宋体"/>
                <w:bCs/>
                <w:sz w:val="24"/>
              </w:rPr>
              <w:t>由评委根据投标人承诺的产品质量保证、售后服务保障体系、售后服务人员的技术水平及现场服务措施、最终供货服务能力、故障解决能力、服务响应时间、培训承诺情况等评审，满分</w:t>
            </w:r>
            <w:r>
              <w:rPr>
                <w:rFonts w:hint="eastAsia" w:ascii="宋体" w:hAnsi="宋体" w:eastAsia="宋体" w:cs="宋体"/>
                <w:bCs/>
                <w:sz w:val="24"/>
                <w:lang w:val="en-US" w:eastAsia="zh-CN"/>
              </w:rPr>
              <w:t>15</w:t>
            </w:r>
            <w:r>
              <w:rPr>
                <w:rFonts w:hint="eastAsia" w:ascii="宋体" w:hAnsi="宋体" w:eastAsia="宋体" w:cs="宋体"/>
                <w:bCs/>
                <w:sz w:val="24"/>
              </w:rPr>
              <w:t>分。</w:t>
            </w:r>
          </w:p>
          <w:p w14:paraId="09EBAE87">
            <w:pPr>
              <w:rPr>
                <w:rFonts w:hint="eastAsia" w:ascii="宋体" w:hAnsi="宋体" w:eastAsia="宋体" w:cs="宋体"/>
                <w:bCs/>
                <w:sz w:val="24"/>
              </w:rPr>
            </w:pPr>
            <w:r>
              <w:rPr>
                <w:rFonts w:hint="eastAsia" w:ascii="宋体" w:hAnsi="宋体" w:eastAsia="宋体" w:cs="宋体"/>
                <w:bCs/>
                <w:sz w:val="24"/>
              </w:rPr>
              <w:t>1.方案内容详实、合理、可行、针对性强，能够有效的保证人员的稳定性的，得</w:t>
            </w:r>
            <w:r>
              <w:rPr>
                <w:rFonts w:hint="eastAsia" w:ascii="宋体" w:hAnsi="宋体" w:eastAsia="宋体" w:cs="宋体"/>
                <w:bCs/>
                <w:sz w:val="24"/>
                <w:lang w:val="en-US" w:eastAsia="zh-CN"/>
              </w:rPr>
              <w:t>10</w:t>
            </w:r>
            <w:r>
              <w:rPr>
                <w:rFonts w:hint="eastAsia" w:ascii="宋体" w:hAnsi="宋体" w:eastAsia="宋体" w:cs="宋体"/>
                <w:bCs/>
                <w:sz w:val="24"/>
              </w:rPr>
              <w:t>-</w:t>
            </w:r>
            <w:r>
              <w:rPr>
                <w:rFonts w:hint="eastAsia" w:ascii="宋体" w:hAnsi="宋体" w:eastAsia="宋体" w:cs="宋体"/>
                <w:bCs/>
                <w:sz w:val="24"/>
                <w:lang w:val="en-US" w:eastAsia="zh-CN"/>
              </w:rPr>
              <w:t>15</w:t>
            </w:r>
            <w:r>
              <w:rPr>
                <w:rFonts w:hint="eastAsia" w:ascii="宋体" w:hAnsi="宋体" w:eastAsia="宋体" w:cs="宋体"/>
                <w:bCs/>
                <w:sz w:val="24"/>
              </w:rPr>
              <w:t>分；</w:t>
            </w:r>
          </w:p>
          <w:p w14:paraId="6D4F61BF">
            <w:pPr>
              <w:rPr>
                <w:rFonts w:hint="eastAsia" w:ascii="宋体" w:hAnsi="宋体" w:eastAsia="宋体" w:cs="宋体"/>
                <w:bCs/>
                <w:sz w:val="24"/>
              </w:rPr>
            </w:pPr>
            <w:r>
              <w:rPr>
                <w:rFonts w:hint="eastAsia" w:ascii="宋体" w:hAnsi="宋体" w:eastAsia="宋体" w:cs="宋体"/>
                <w:bCs/>
                <w:sz w:val="24"/>
              </w:rPr>
              <w:t>2.方案内容基本齐全，合理性、可行性、针对性一般，能够基本保证人员的稳定性的，得</w:t>
            </w:r>
            <w:r>
              <w:rPr>
                <w:rFonts w:hint="eastAsia" w:ascii="宋体" w:hAnsi="宋体" w:eastAsia="宋体" w:cs="宋体"/>
                <w:bCs/>
                <w:sz w:val="24"/>
                <w:lang w:val="en-US" w:eastAsia="zh-CN"/>
              </w:rPr>
              <w:t>5</w:t>
            </w:r>
            <w:r>
              <w:rPr>
                <w:rFonts w:hint="eastAsia" w:ascii="宋体" w:hAnsi="宋体" w:eastAsia="宋体" w:cs="宋体"/>
                <w:bCs/>
                <w:sz w:val="24"/>
              </w:rPr>
              <w:t>-</w:t>
            </w:r>
            <w:r>
              <w:rPr>
                <w:rFonts w:hint="eastAsia" w:ascii="宋体" w:hAnsi="宋体" w:eastAsia="宋体" w:cs="宋体"/>
                <w:bCs/>
                <w:sz w:val="24"/>
                <w:lang w:val="en-US" w:eastAsia="zh-CN"/>
              </w:rPr>
              <w:t>10</w:t>
            </w:r>
            <w:r>
              <w:rPr>
                <w:rFonts w:hint="eastAsia" w:ascii="宋体" w:hAnsi="宋体" w:eastAsia="宋体" w:cs="宋体"/>
                <w:bCs/>
                <w:sz w:val="24"/>
              </w:rPr>
              <w:t>分；</w:t>
            </w:r>
          </w:p>
          <w:p w14:paraId="39D5FB85">
            <w:pPr>
              <w:rPr>
                <w:rFonts w:hint="eastAsia" w:ascii="宋体" w:hAnsi="宋体" w:eastAsia="宋体" w:cs="宋体"/>
                <w:bCs/>
                <w:sz w:val="24"/>
              </w:rPr>
            </w:pPr>
            <w:r>
              <w:rPr>
                <w:rFonts w:hint="eastAsia" w:ascii="宋体" w:hAnsi="宋体" w:eastAsia="宋体" w:cs="宋体"/>
                <w:bCs/>
                <w:sz w:val="24"/>
              </w:rPr>
              <w:t>3.方案不可行或者未提供得0-</w:t>
            </w:r>
            <w:r>
              <w:rPr>
                <w:rFonts w:hint="eastAsia" w:ascii="宋体" w:hAnsi="宋体" w:eastAsia="宋体" w:cs="宋体"/>
                <w:bCs/>
                <w:sz w:val="24"/>
                <w:lang w:val="en-US" w:eastAsia="zh-CN"/>
              </w:rPr>
              <w:t>5</w:t>
            </w:r>
            <w:r>
              <w:rPr>
                <w:rFonts w:hint="eastAsia" w:ascii="宋体" w:hAnsi="宋体" w:eastAsia="宋体" w:cs="宋体"/>
                <w:bCs/>
                <w:sz w:val="24"/>
              </w:rPr>
              <w:t>分。</w:t>
            </w:r>
          </w:p>
        </w:tc>
        <w:tc>
          <w:tcPr>
            <w:tcW w:w="1276" w:type="dxa"/>
            <w:tcBorders>
              <w:top w:val="single" w:color="auto" w:sz="4" w:space="0"/>
              <w:left w:val="single" w:color="auto" w:sz="4" w:space="0"/>
              <w:bottom w:val="single" w:color="auto" w:sz="4" w:space="0"/>
              <w:right w:val="single" w:color="auto" w:sz="4" w:space="0"/>
            </w:tcBorders>
            <w:vAlign w:val="center"/>
          </w:tcPr>
          <w:p w14:paraId="1C4319D7">
            <w:pPr>
              <w:jc w:val="center"/>
              <w:rPr>
                <w:rFonts w:hint="default" w:ascii="宋体" w:hAnsi="宋体" w:eastAsia="宋体" w:cs="宋体"/>
                <w:bCs/>
                <w:sz w:val="24"/>
                <w:lang w:val="en-US" w:eastAsia="zh-CN" w:bidi="ar"/>
              </w:rPr>
            </w:pPr>
            <w:r>
              <w:rPr>
                <w:rFonts w:hint="eastAsia" w:ascii="宋体" w:hAnsi="宋体" w:eastAsia="宋体" w:cs="宋体"/>
                <w:bCs/>
                <w:sz w:val="24"/>
                <w:lang w:bidi="ar"/>
              </w:rPr>
              <w:t>0-</w:t>
            </w:r>
            <w:r>
              <w:rPr>
                <w:rFonts w:hint="eastAsia" w:ascii="宋体" w:hAnsi="宋体" w:eastAsia="宋体" w:cs="宋体"/>
                <w:bCs/>
                <w:sz w:val="24"/>
                <w:lang w:val="en-US" w:eastAsia="zh-CN" w:bidi="ar"/>
              </w:rPr>
              <w:t>15</w:t>
            </w:r>
          </w:p>
        </w:tc>
      </w:tr>
      <w:tr w14:paraId="1FC2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tcBorders>
              <w:left w:val="single" w:color="auto" w:sz="4" w:space="0"/>
              <w:right w:val="single" w:color="auto" w:sz="4" w:space="0"/>
            </w:tcBorders>
            <w:vAlign w:val="center"/>
          </w:tcPr>
          <w:p w14:paraId="2ABC4036">
            <w:pPr>
              <w:jc w:val="center"/>
              <w:rPr>
                <w:rFonts w:hint="eastAsia" w:ascii="宋体" w:hAnsi="宋体" w:eastAsia="宋体" w:cs="宋体"/>
                <w:bCs/>
                <w:sz w:val="24"/>
                <w:lang w:bidi="ar"/>
              </w:rPr>
            </w:pPr>
          </w:p>
        </w:tc>
        <w:tc>
          <w:tcPr>
            <w:tcW w:w="1276" w:type="dxa"/>
            <w:tcBorders>
              <w:top w:val="single" w:color="auto" w:sz="4" w:space="0"/>
              <w:left w:val="single" w:color="auto" w:sz="4" w:space="0"/>
              <w:bottom w:val="single" w:color="auto" w:sz="4" w:space="0"/>
              <w:right w:val="single" w:color="auto" w:sz="4" w:space="0"/>
            </w:tcBorders>
            <w:vAlign w:val="center"/>
          </w:tcPr>
          <w:p w14:paraId="52F2FD31">
            <w:pPr>
              <w:jc w:val="left"/>
              <w:rPr>
                <w:rFonts w:hint="eastAsia" w:ascii="宋体" w:hAnsi="宋体" w:eastAsia="宋体" w:cs="宋体"/>
                <w:bCs/>
                <w:sz w:val="24"/>
              </w:rPr>
            </w:pPr>
            <w:r>
              <w:rPr>
                <w:rFonts w:hint="eastAsia" w:ascii="宋体" w:hAnsi="宋体" w:eastAsia="宋体" w:cs="宋体"/>
                <w:bCs/>
                <w:sz w:val="24"/>
              </w:rPr>
              <w:t>安装、 调试方案</w:t>
            </w:r>
          </w:p>
        </w:tc>
        <w:tc>
          <w:tcPr>
            <w:tcW w:w="5103" w:type="dxa"/>
            <w:tcBorders>
              <w:top w:val="single" w:color="auto" w:sz="4" w:space="0"/>
              <w:left w:val="single" w:color="auto" w:sz="4" w:space="0"/>
              <w:bottom w:val="single" w:color="auto" w:sz="4" w:space="0"/>
              <w:right w:val="single" w:color="auto" w:sz="4" w:space="0"/>
            </w:tcBorders>
            <w:vAlign w:val="center"/>
          </w:tcPr>
          <w:p w14:paraId="79A702BE">
            <w:pPr>
              <w:rPr>
                <w:rFonts w:hint="eastAsia" w:ascii="宋体" w:hAnsi="宋体" w:eastAsia="宋体" w:cs="宋体"/>
                <w:bCs/>
                <w:sz w:val="24"/>
              </w:rPr>
            </w:pPr>
            <w:r>
              <w:rPr>
                <w:rFonts w:hint="eastAsia" w:ascii="宋体" w:hAnsi="宋体" w:eastAsia="宋体" w:cs="宋体"/>
                <w:bCs/>
                <w:sz w:val="24"/>
              </w:rPr>
              <w:t xml:space="preserve">对本项目的安装、调试方案进行评价：安装、调试方案应包含安装质量标准、具体安装及调试方案、安装流程等内容。评审时由评标委员会根据各投标人方案内容等方面进行评审打分。 </w:t>
            </w:r>
          </w:p>
          <w:p w14:paraId="46A5B66D">
            <w:pPr>
              <w:rPr>
                <w:rFonts w:hint="eastAsia" w:ascii="宋体" w:hAnsi="宋体" w:eastAsia="宋体" w:cs="宋体"/>
                <w:bCs/>
                <w:sz w:val="24"/>
              </w:rPr>
            </w:pPr>
            <w:r>
              <w:rPr>
                <w:rFonts w:hint="eastAsia" w:ascii="宋体" w:hAnsi="宋体" w:eastAsia="宋体" w:cs="宋体"/>
                <w:bCs/>
                <w:sz w:val="24"/>
              </w:rPr>
              <w:t>1.内容齐全、详细、完整，结合项目特点，在项目要求的基础上提出更利于项目实施的安装调试方案，且符合项目实际情况的得</w:t>
            </w:r>
            <w:r>
              <w:rPr>
                <w:rFonts w:hint="eastAsia" w:ascii="宋体" w:hAnsi="宋体" w:eastAsia="宋体" w:cs="宋体"/>
                <w:bCs/>
                <w:sz w:val="24"/>
                <w:lang w:val="en-US" w:eastAsia="zh-CN"/>
              </w:rPr>
              <w:t>10-15</w:t>
            </w:r>
            <w:bookmarkStart w:id="0" w:name="_GoBack"/>
            <w:bookmarkEnd w:id="0"/>
            <w:r>
              <w:rPr>
                <w:rFonts w:hint="eastAsia" w:ascii="宋体" w:hAnsi="宋体" w:eastAsia="宋体" w:cs="宋体"/>
                <w:bCs/>
                <w:sz w:val="24"/>
              </w:rPr>
              <w:t xml:space="preserve">分； </w:t>
            </w:r>
          </w:p>
          <w:p w14:paraId="00F2F74B">
            <w:pPr>
              <w:rPr>
                <w:rFonts w:hint="eastAsia" w:ascii="宋体" w:hAnsi="宋体" w:eastAsia="宋体" w:cs="宋体"/>
                <w:bCs/>
                <w:sz w:val="24"/>
              </w:rPr>
            </w:pPr>
            <w:r>
              <w:rPr>
                <w:rFonts w:hint="eastAsia" w:ascii="宋体" w:hAnsi="宋体" w:eastAsia="宋体" w:cs="宋体"/>
                <w:bCs/>
                <w:sz w:val="24"/>
              </w:rPr>
              <w:t>2.内容齐全，且符合项目实际情况的得</w:t>
            </w:r>
            <w:r>
              <w:rPr>
                <w:rFonts w:hint="eastAsia" w:ascii="宋体" w:hAnsi="宋体" w:eastAsia="宋体" w:cs="宋体"/>
                <w:bCs/>
                <w:sz w:val="24"/>
                <w:lang w:val="en-US" w:eastAsia="zh-CN"/>
              </w:rPr>
              <w:t>5-10</w:t>
            </w:r>
            <w:r>
              <w:rPr>
                <w:rFonts w:hint="eastAsia" w:ascii="宋体" w:hAnsi="宋体" w:eastAsia="宋体" w:cs="宋体"/>
                <w:bCs/>
                <w:sz w:val="24"/>
              </w:rPr>
              <w:t xml:space="preserve">分； </w:t>
            </w:r>
          </w:p>
          <w:p w14:paraId="5049FCEB">
            <w:pPr>
              <w:rPr>
                <w:rFonts w:hint="eastAsia" w:ascii="宋体" w:hAnsi="宋体" w:eastAsia="宋体" w:cs="宋体"/>
                <w:bCs/>
                <w:sz w:val="24"/>
              </w:rPr>
            </w:pPr>
            <w:r>
              <w:rPr>
                <w:rFonts w:hint="eastAsia" w:ascii="宋体" w:hAnsi="宋体" w:eastAsia="宋体" w:cs="宋体"/>
                <w:bCs/>
                <w:sz w:val="24"/>
              </w:rPr>
              <w:t>3.内容不齐全，描述不清，前后矛盾，部分内容缺失的得1</w:t>
            </w:r>
            <w:r>
              <w:rPr>
                <w:rFonts w:hint="eastAsia" w:ascii="宋体" w:hAnsi="宋体" w:eastAsia="宋体" w:cs="宋体"/>
                <w:bCs/>
                <w:sz w:val="24"/>
                <w:lang w:val="en-US" w:eastAsia="zh-CN"/>
              </w:rPr>
              <w:t>-5</w:t>
            </w:r>
            <w:r>
              <w:rPr>
                <w:rFonts w:hint="eastAsia" w:ascii="宋体" w:hAnsi="宋体" w:eastAsia="宋体" w:cs="宋体"/>
                <w:bCs/>
                <w:sz w:val="24"/>
              </w:rPr>
              <w:t xml:space="preserve">分； </w:t>
            </w:r>
          </w:p>
          <w:p w14:paraId="49727B72">
            <w:pPr>
              <w:rPr>
                <w:rFonts w:hint="eastAsia" w:ascii="宋体" w:hAnsi="宋体" w:eastAsia="宋体" w:cs="宋体"/>
                <w:bCs/>
                <w:sz w:val="24"/>
              </w:rPr>
            </w:pPr>
            <w:r>
              <w:rPr>
                <w:rFonts w:hint="eastAsia" w:ascii="宋体" w:hAnsi="宋体" w:eastAsia="宋体" w:cs="宋体"/>
                <w:bCs/>
                <w:sz w:val="24"/>
              </w:rPr>
              <w:t>4.未提供的不得分。</w:t>
            </w:r>
          </w:p>
        </w:tc>
        <w:tc>
          <w:tcPr>
            <w:tcW w:w="1276" w:type="dxa"/>
            <w:tcBorders>
              <w:top w:val="single" w:color="auto" w:sz="4" w:space="0"/>
              <w:left w:val="single" w:color="auto" w:sz="4" w:space="0"/>
              <w:bottom w:val="single" w:color="auto" w:sz="4" w:space="0"/>
              <w:right w:val="single" w:color="auto" w:sz="4" w:space="0"/>
            </w:tcBorders>
            <w:vAlign w:val="center"/>
          </w:tcPr>
          <w:p w14:paraId="4C95A931">
            <w:pPr>
              <w:jc w:val="center"/>
              <w:rPr>
                <w:rFonts w:hint="default" w:ascii="宋体" w:hAnsi="宋体" w:eastAsia="宋体" w:cs="宋体"/>
                <w:bCs/>
                <w:sz w:val="24"/>
                <w:lang w:val="en-US" w:eastAsia="zh-CN" w:bidi="ar"/>
              </w:rPr>
            </w:pPr>
            <w:r>
              <w:rPr>
                <w:rFonts w:hint="eastAsia" w:ascii="宋体" w:hAnsi="宋体" w:eastAsia="宋体" w:cs="宋体"/>
                <w:bCs/>
                <w:sz w:val="24"/>
                <w:lang w:bidi="ar"/>
              </w:rPr>
              <w:t>0-</w:t>
            </w:r>
            <w:r>
              <w:rPr>
                <w:rFonts w:hint="eastAsia" w:ascii="宋体" w:hAnsi="宋体" w:eastAsia="宋体" w:cs="宋体"/>
                <w:bCs/>
                <w:sz w:val="24"/>
                <w:lang w:val="en-US" w:eastAsia="zh-CN" w:bidi="ar"/>
              </w:rPr>
              <w:t>15</w:t>
            </w:r>
          </w:p>
        </w:tc>
      </w:tr>
      <w:tr w14:paraId="2E76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1416" w:type="dxa"/>
            <w:tcBorders>
              <w:top w:val="single" w:color="auto" w:sz="4" w:space="0"/>
              <w:left w:val="single" w:color="auto" w:sz="4" w:space="0"/>
              <w:bottom w:val="single" w:color="auto" w:sz="4" w:space="0"/>
              <w:right w:val="single" w:color="auto" w:sz="4" w:space="0"/>
            </w:tcBorders>
            <w:vAlign w:val="center"/>
          </w:tcPr>
          <w:p w14:paraId="2B5D7DC0">
            <w:pPr>
              <w:jc w:val="center"/>
              <w:rPr>
                <w:rFonts w:hint="eastAsia" w:ascii="宋体" w:hAnsi="宋体" w:eastAsia="宋体" w:cs="宋体"/>
                <w:sz w:val="24"/>
              </w:rPr>
            </w:pPr>
            <w:r>
              <w:rPr>
                <w:rFonts w:hint="eastAsia" w:ascii="宋体" w:hAnsi="宋体" w:eastAsia="宋体" w:cs="宋体"/>
                <w:sz w:val="24"/>
                <w:lang w:bidi="ar"/>
              </w:rPr>
              <w:t>价格分</w:t>
            </w:r>
          </w:p>
          <w:p w14:paraId="6C673453">
            <w:pPr>
              <w:jc w:val="center"/>
              <w:rPr>
                <w:rFonts w:hint="eastAsia" w:ascii="宋体" w:hAnsi="宋体" w:eastAsia="宋体" w:cs="宋体"/>
                <w:b/>
                <w:sz w:val="24"/>
              </w:rPr>
            </w:pPr>
            <w:r>
              <w:rPr>
                <w:rFonts w:hint="eastAsia" w:ascii="宋体" w:hAnsi="宋体" w:eastAsia="宋体" w:cs="宋体"/>
                <w:sz w:val="24"/>
                <w:lang w:bidi="ar"/>
              </w:rPr>
              <w:t>（</w:t>
            </w:r>
            <w:r>
              <w:rPr>
                <w:rFonts w:hint="eastAsia" w:ascii="宋体" w:hAnsi="宋体" w:eastAsia="宋体" w:cs="宋体"/>
                <w:sz w:val="24"/>
                <w:u w:val="single"/>
                <w:lang w:bidi="ar"/>
              </w:rPr>
              <w:t xml:space="preserve"> 30 </w:t>
            </w:r>
            <w:r>
              <w:rPr>
                <w:rFonts w:hint="eastAsia" w:ascii="宋体" w:hAnsi="宋体" w:eastAsia="宋体" w:cs="宋体"/>
                <w:sz w:val="24"/>
                <w:lang w:bidi="ar"/>
              </w:rPr>
              <w:t>分）</w:t>
            </w:r>
          </w:p>
        </w:tc>
        <w:tc>
          <w:tcPr>
            <w:tcW w:w="7655" w:type="dxa"/>
            <w:gridSpan w:val="3"/>
            <w:tcBorders>
              <w:top w:val="single" w:color="auto" w:sz="4" w:space="0"/>
              <w:left w:val="single" w:color="auto" w:sz="4" w:space="0"/>
              <w:bottom w:val="single" w:color="auto" w:sz="4" w:space="0"/>
              <w:right w:val="single" w:color="auto" w:sz="4" w:space="0"/>
            </w:tcBorders>
            <w:vAlign w:val="center"/>
          </w:tcPr>
          <w:p w14:paraId="73FFF867">
            <w:pPr>
              <w:widowControl/>
              <w:rPr>
                <w:rFonts w:hint="eastAsia" w:ascii="宋体" w:hAnsi="宋体" w:eastAsia="宋体" w:cs="宋体"/>
                <w:sz w:val="24"/>
              </w:rPr>
            </w:pPr>
            <w:r>
              <w:rPr>
                <w:rFonts w:hint="eastAsia" w:ascii="宋体" w:hAnsi="宋体" w:eastAsia="宋体" w:cs="宋体"/>
                <w:color w:val="000000"/>
                <w:sz w:val="24"/>
                <w:lang w:bidi="ar"/>
              </w:rPr>
              <w:t>价格分统一采用低价优先法，即满足招标文件要求且投标价格最低的投标报价为评标基准价，其价格分</w:t>
            </w:r>
            <w:r>
              <w:rPr>
                <w:rFonts w:hint="eastAsia" w:ascii="宋体" w:hAnsi="宋体" w:eastAsia="宋体" w:cs="宋体"/>
                <w:sz w:val="24"/>
                <w:lang w:bidi="ar"/>
              </w:rPr>
              <w:t>为满分</w:t>
            </w:r>
            <w:r>
              <w:rPr>
                <w:rFonts w:hint="eastAsia" w:ascii="宋体" w:hAnsi="宋体" w:eastAsia="宋体" w:cs="宋体"/>
                <w:sz w:val="24"/>
                <w:u w:val="single"/>
                <w:lang w:bidi="ar"/>
              </w:rPr>
              <w:t xml:space="preserve">  30 </w:t>
            </w:r>
            <w:r>
              <w:rPr>
                <w:rFonts w:hint="eastAsia" w:ascii="宋体" w:hAnsi="宋体" w:eastAsia="宋体" w:cs="宋体"/>
                <w:sz w:val="24"/>
                <w:lang w:bidi="ar"/>
              </w:rPr>
              <w:t>分。其他投标供应商的价格分统一按照下列公式计算：</w:t>
            </w:r>
          </w:p>
          <w:p w14:paraId="2CB2C21A">
            <w:pPr>
              <w:rPr>
                <w:rFonts w:hint="eastAsia" w:ascii="宋体" w:hAnsi="宋体" w:eastAsia="宋体" w:cs="宋体"/>
                <w:b/>
                <w:sz w:val="24"/>
              </w:rPr>
            </w:pPr>
            <w:r>
              <w:rPr>
                <w:rFonts w:hint="eastAsia" w:ascii="宋体" w:hAnsi="宋体" w:eastAsia="宋体" w:cs="宋体"/>
                <w:sz w:val="24"/>
                <w:lang w:bidi="ar"/>
              </w:rPr>
              <w:t>投标报价得分＝（评标基准价/投标报价）×</w:t>
            </w:r>
            <w:r>
              <w:rPr>
                <w:rFonts w:hint="eastAsia" w:ascii="宋体" w:hAnsi="宋体" w:eastAsia="宋体" w:cs="宋体"/>
                <w:sz w:val="24"/>
                <w:u w:val="single"/>
                <w:lang w:bidi="ar"/>
              </w:rPr>
              <w:t xml:space="preserve">  30 </w:t>
            </w:r>
            <w:r>
              <w:rPr>
                <w:rFonts w:hint="eastAsia" w:ascii="宋体" w:hAnsi="宋体" w:eastAsia="宋体" w:cs="宋体"/>
                <w:sz w:val="24"/>
                <w:lang w:bidi="ar"/>
              </w:rPr>
              <w:t>％×100</w:t>
            </w:r>
          </w:p>
        </w:tc>
      </w:tr>
    </w:tbl>
    <w:p w14:paraId="275A102E"/>
    <w:sectPr>
      <w:pgSz w:w="11906" w:h="16838"/>
      <w:pgMar w:top="1440" w:right="1800" w:bottom="1440" w:left="1800" w:header="851" w:footer="992" w:gutter="0"/>
      <w:cols w:space="0" w:num="1"/>
      <w:docGrid w:type="lines" w:linePitch="38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210"/>
  <w:drawingGridVerticalSpacing w:val="194"/>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0093518"/>
    <w:rsid w:val="00116142"/>
    <w:rsid w:val="00265DD8"/>
    <w:rsid w:val="003008CE"/>
    <w:rsid w:val="00302EF4"/>
    <w:rsid w:val="004263A3"/>
    <w:rsid w:val="004339E8"/>
    <w:rsid w:val="004F2ABF"/>
    <w:rsid w:val="0058157E"/>
    <w:rsid w:val="00613592"/>
    <w:rsid w:val="00713A2D"/>
    <w:rsid w:val="00715851"/>
    <w:rsid w:val="00895E7D"/>
    <w:rsid w:val="008A4711"/>
    <w:rsid w:val="00A3160F"/>
    <w:rsid w:val="00C44E97"/>
    <w:rsid w:val="00E161C7"/>
    <w:rsid w:val="00E42FFD"/>
    <w:rsid w:val="00F8093E"/>
    <w:rsid w:val="07011CC2"/>
    <w:rsid w:val="07644792"/>
    <w:rsid w:val="09284798"/>
    <w:rsid w:val="0F2B6FD9"/>
    <w:rsid w:val="11A5566B"/>
    <w:rsid w:val="183C240D"/>
    <w:rsid w:val="1AA24D9F"/>
    <w:rsid w:val="28DA2E89"/>
    <w:rsid w:val="2A4254F9"/>
    <w:rsid w:val="2D1F32F4"/>
    <w:rsid w:val="323B4D81"/>
    <w:rsid w:val="33DC25C4"/>
    <w:rsid w:val="34B70380"/>
    <w:rsid w:val="361919F5"/>
    <w:rsid w:val="3AE174A3"/>
    <w:rsid w:val="43446334"/>
    <w:rsid w:val="44A84E71"/>
    <w:rsid w:val="477DCE1E"/>
    <w:rsid w:val="532A672F"/>
    <w:rsid w:val="573E1E21"/>
    <w:rsid w:val="5B487E91"/>
    <w:rsid w:val="5CF9550F"/>
    <w:rsid w:val="5EFEBDE8"/>
    <w:rsid w:val="68CA2609"/>
    <w:rsid w:val="68CC1AED"/>
    <w:rsid w:val="69BB0F42"/>
    <w:rsid w:val="6A637494"/>
    <w:rsid w:val="6BCF62E6"/>
    <w:rsid w:val="6CD3A16D"/>
    <w:rsid w:val="6D535020"/>
    <w:rsid w:val="6D8F6733"/>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after="220"/>
      <w:outlineLvl w:val="0"/>
    </w:pPr>
    <w:rPr>
      <w:b/>
      <w:kern w:val="44"/>
      <w:sz w:val="36"/>
    </w:rPr>
  </w:style>
  <w:style w:type="paragraph" w:styleId="3">
    <w:name w:val="heading 2"/>
    <w:basedOn w:val="1"/>
    <w:next w:val="1"/>
    <w:unhideWhenUsed/>
    <w:qFormat/>
    <w:uiPriority w:val="0"/>
    <w:pPr>
      <w:keepNext/>
      <w:keepLines/>
      <w:spacing w:before="260" w:after="200"/>
      <w:outlineLvl w:val="1"/>
    </w:pPr>
    <w:rPr>
      <w:b/>
      <w:sz w:val="32"/>
    </w:rPr>
  </w:style>
  <w:style w:type="paragraph" w:styleId="4">
    <w:name w:val="heading 3"/>
    <w:basedOn w:val="1"/>
    <w:next w:val="1"/>
    <w:unhideWhenUsed/>
    <w:qFormat/>
    <w:uiPriority w:val="0"/>
    <w:pPr>
      <w:keepNext/>
      <w:keepLines/>
      <w:spacing w:before="260" w:after="180"/>
      <w:outlineLvl w:val="2"/>
    </w:pPr>
    <w:rPr>
      <w:b/>
      <w:sz w:val="30"/>
    </w:rPr>
  </w:style>
  <w:style w:type="paragraph" w:styleId="5">
    <w:name w:val="heading 4"/>
    <w:basedOn w:val="1"/>
    <w:next w:val="1"/>
    <w:unhideWhenUsed/>
    <w:qFormat/>
    <w:uiPriority w:val="0"/>
    <w:pPr>
      <w:keepNext/>
      <w:keepLines/>
      <w:spacing w:before="240"/>
      <w:outlineLvl w:val="3"/>
    </w:pPr>
    <w:rPr>
      <w:b/>
      <w:sz w:val="28"/>
    </w:rPr>
  </w:style>
  <w:style w:type="paragraph" w:styleId="6">
    <w:name w:val="heading 5"/>
    <w:basedOn w:val="1"/>
    <w:next w:val="1"/>
    <w:unhideWhenUsed/>
    <w:qFormat/>
    <w:uiPriority w:val="0"/>
    <w:pPr>
      <w:keepNext/>
      <w:keepLines/>
      <w:spacing w:before="240"/>
      <w:outlineLvl w:val="4"/>
    </w:pPr>
    <w:rPr>
      <w:b/>
      <w:sz w:val="28"/>
    </w:rPr>
  </w:style>
  <w:style w:type="paragraph" w:styleId="7">
    <w:name w:val="heading 6"/>
    <w:basedOn w:val="1"/>
    <w:next w:val="1"/>
    <w:unhideWhenUsed/>
    <w:qFormat/>
    <w:uiPriority w:val="0"/>
    <w:pPr>
      <w:keepNext/>
      <w:keepLines/>
      <w:spacing w:before="240" w:after="120"/>
      <w:outlineLvl w:val="5"/>
    </w:pPr>
    <w:rPr>
      <w:b/>
      <w:sz w:val="24"/>
    </w:rPr>
  </w:style>
  <w:style w:type="paragraph" w:styleId="8">
    <w:name w:val="heading 7"/>
    <w:basedOn w:val="1"/>
    <w:next w:val="1"/>
    <w:unhideWhenUsed/>
    <w:qFormat/>
    <w:uiPriority w:val="0"/>
    <w:pPr>
      <w:keepNext/>
      <w:keepLines/>
      <w:spacing w:before="240" w:after="120"/>
      <w:outlineLvl w:val="6"/>
    </w:pPr>
    <w:rPr>
      <w:b/>
      <w:sz w:val="24"/>
    </w:rPr>
  </w:style>
  <w:style w:type="paragraph" w:styleId="9">
    <w:name w:val="heading 8"/>
    <w:basedOn w:val="1"/>
    <w:next w:val="1"/>
    <w:unhideWhenUsed/>
    <w:qFormat/>
    <w:uiPriority w:val="0"/>
    <w:pPr>
      <w:keepNext/>
      <w:keepLines/>
      <w:spacing w:before="180" w:after="64"/>
      <w:outlineLvl w:val="7"/>
    </w:pPr>
    <w:rPr>
      <w:sz w:val="24"/>
    </w:rPr>
  </w:style>
  <w:style w:type="paragraph" w:styleId="10">
    <w:name w:val="heading 9"/>
    <w:basedOn w:val="1"/>
    <w:next w:val="1"/>
    <w:unhideWhenUsed/>
    <w:qFormat/>
    <w:uiPriority w:val="0"/>
    <w:pPr>
      <w:keepNext/>
      <w:keepLines/>
      <w:spacing w:before="180" w:after="64"/>
      <w:outlineLvl w:val="8"/>
    </w:p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footer"/>
    <w:basedOn w:val="1"/>
    <w:link w:val="17"/>
    <w:uiPriority w:val="0"/>
    <w:pPr>
      <w:tabs>
        <w:tab w:val="center" w:pos="4153"/>
        <w:tab w:val="right" w:pos="8306"/>
      </w:tabs>
      <w:snapToGrid w:val="0"/>
      <w:jc w:val="left"/>
    </w:pPr>
    <w:rPr>
      <w:sz w:val="18"/>
      <w:szCs w:val="18"/>
    </w:rPr>
  </w:style>
  <w:style w:type="paragraph" w:styleId="12">
    <w:name w:val="header"/>
    <w:basedOn w:val="1"/>
    <w:link w:val="16"/>
    <w:qFormat/>
    <w:uiPriority w:val="0"/>
    <w:pPr>
      <w:tabs>
        <w:tab w:val="center" w:pos="4153"/>
        <w:tab w:val="right" w:pos="8306"/>
      </w:tabs>
      <w:snapToGrid w:val="0"/>
      <w:jc w:val="center"/>
    </w:pPr>
    <w:rPr>
      <w:sz w:val="18"/>
      <w:szCs w:val="18"/>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页眉 字符"/>
    <w:basedOn w:val="15"/>
    <w:link w:val="12"/>
    <w:uiPriority w:val="0"/>
    <w:rPr>
      <w:rFonts w:ascii="Arial" w:hAnsi="Arial" w:eastAsia="微软雅黑"/>
      <w:kern w:val="2"/>
      <w:sz w:val="18"/>
      <w:szCs w:val="18"/>
    </w:rPr>
  </w:style>
  <w:style w:type="character" w:customStyle="1" w:styleId="17">
    <w:name w:val="页脚 字符"/>
    <w:basedOn w:val="15"/>
    <w:link w:val="11"/>
    <w:uiPriority w:val="0"/>
    <w:rPr>
      <w:rFonts w:ascii="Arial" w:hAnsi="Arial" w:eastAsia="微软雅黑"/>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1089</Words>
  <Characters>1153</Characters>
  <Lines>8</Lines>
  <Paragraphs>2</Paragraphs>
  <TotalTime>6</TotalTime>
  <ScaleCrop>false</ScaleCrop>
  <LinksUpToDate>false</LinksUpToDate>
  <CharactersWithSpaces>1174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38218</dc:creator>
  <cp:lastModifiedBy>简单</cp:lastModifiedBy>
  <dcterms:modified xsi:type="dcterms:W3CDTF">2026-09-04T00:46:01Z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eyJoZGlkIjoiYjgyOGQyODI3NTAyMDJjYmRjZmFkZWE1NDI5Y2Q4NDIiLCJ1c2VySWQiOiIzNTQxNDQ5MzAifQ==</vt:lpwstr>
  </property>
  <property fmtid="{D5CDD505-2E9C-101B-9397-08002B2CF9AE}" pid="6" name="ICV">
    <vt:lpwstr>51092C6BC81B41DABD62434BEF572AB8_12</vt:lpwstr>
  </property>
</Properties>
</file>